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E154" w14:textId="77777777" w:rsidR="006F342F" w:rsidRPr="007B7C5C" w:rsidRDefault="006F342F" w:rsidP="00E319EA">
      <w:pPr>
        <w:pBdr>
          <w:bottom w:val="single" w:sz="12" w:space="1" w:color="auto"/>
        </w:pBdr>
        <w:jc w:val="both"/>
        <w:rPr>
          <w:rFonts w:ascii="Cambria" w:hAnsi="Cambria" w:cs="Times New Roman"/>
          <w:b/>
          <w:color w:val="auto"/>
          <w:sz w:val="21"/>
          <w:szCs w:val="21"/>
        </w:rPr>
      </w:pPr>
      <w:r w:rsidRPr="007B7C5C">
        <w:rPr>
          <w:rFonts w:ascii="Cambria" w:hAnsi="Cambria"/>
          <w:b/>
          <w:sz w:val="21"/>
          <w:szCs w:val="21"/>
        </w:rPr>
        <w:t>INFORMACJA PRASOWA</w:t>
      </w:r>
    </w:p>
    <w:p w14:paraId="4772FF46" w14:textId="3611D995" w:rsidR="006F342F" w:rsidRPr="007B7C5C" w:rsidRDefault="006F342F" w:rsidP="00E319EA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>Gdańsk,</w:t>
      </w:r>
      <w:r w:rsidR="00862BCC" w:rsidRPr="007B7C5C">
        <w:rPr>
          <w:rFonts w:ascii="Cambria" w:hAnsi="Cambria"/>
          <w:sz w:val="21"/>
          <w:szCs w:val="21"/>
        </w:rPr>
        <w:t xml:space="preserve"> </w:t>
      </w:r>
      <w:r w:rsidR="00BE07D4">
        <w:rPr>
          <w:rFonts w:ascii="Cambria" w:hAnsi="Cambria"/>
          <w:sz w:val="21"/>
          <w:szCs w:val="21"/>
        </w:rPr>
        <w:t xml:space="preserve">25 </w:t>
      </w:r>
      <w:r w:rsidR="00C51CD2" w:rsidRPr="007B7C5C">
        <w:rPr>
          <w:rFonts w:ascii="Cambria" w:hAnsi="Cambria"/>
          <w:sz w:val="21"/>
          <w:szCs w:val="21"/>
        </w:rPr>
        <w:t>września</w:t>
      </w:r>
      <w:r w:rsidRPr="007B7C5C">
        <w:rPr>
          <w:rFonts w:ascii="Cambria" w:hAnsi="Cambria"/>
          <w:sz w:val="21"/>
          <w:szCs w:val="21"/>
        </w:rPr>
        <w:t xml:space="preserve"> 2026 r.</w:t>
      </w:r>
    </w:p>
    <w:p w14:paraId="212C9E36" w14:textId="77777777" w:rsidR="004E4320" w:rsidRPr="007B7C5C" w:rsidRDefault="004E4320" w:rsidP="00331404">
      <w:pPr>
        <w:jc w:val="both"/>
        <w:rPr>
          <w:rFonts w:ascii="Cambria" w:hAnsi="Cambria" w:cs="Calibri"/>
          <w:b/>
          <w:bCs/>
          <w:iCs/>
          <w:color w:val="215E99" w:themeColor="text2" w:themeTint="BF"/>
          <w:spacing w:val="-2"/>
          <w:sz w:val="21"/>
          <w:szCs w:val="21"/>
        </w:rPr>
      </w:pPr>
    </w:p>
    <w:p w14:paraId="43C5CF8E" w14:textId="21178A80" w:rsidR="007B7C5C" w:rsidRPr="007B7C5C" w:rsidRDefault="007B7C5C" w:rsidP="007B7C5C">
      <w:pPr>
        <w:jc w:val="both"/>
        <w:rPr>
          <w:rFonts w:ascii="Cambria" w:hAnsi="Cambria"/>
          <w:b/>
          <w:bCs/>
          <w:color w:val="215E99" w:themeColor="text2" w:themeTint="BF"/>
          <w:sz w:val="28"/>
          <w:szCs w:val="28"/>
        </w:rPr>
      </w:pPr>
      <w:r w:rsidRPr="007B7C5C">
        <w:rPr>
          <w:rFonts w:ascii="Cambria" w:hAnsi="Cambria"/>
          <w:b/>
          <w:bCs/>
          <w:color w:val="215E99" w:themeColor="text2" w:themeTint="BF"/>
          <w:sz w:val="28"/>
          <w:szCs w:val="28"/>
        </w:rPr>
        <w:t>Polacy ostrożniej planują swoje finanse</w:t>
      </w:r>
    </w:p>
    <w:p w14:paraId="16B859F9" w14:textId="77777777" w:rsidR="007B7C5C" w:rsidRPr="007B7C5C" w:rsidRDefault="007B7C5C" w:rsidP="007B7C5C">
      <w:pPr>
        <w:jc w:val="both"/>
        <w:rPr>
          <w:rFonts w:ascii="Cambria" w:hAnsi="Cambria"/>
          <w:b/>
          <w:bCs/>
          <w:sz w:val="21"/>
          <w:szCs w:val="21"/>
        </w:rPr>
      </w:pPr>
    </w:p>
    <w:p w14:paraId="396061B3" w14:textId="1F985875" w:rsidR="007B7C5C" w:rsidRPr="007B7C5C" w:rsidRDefault="007B7C5C" w:rsidP="007B7C5C">
      <w:pPr>
        <w:jc w:val="both"/>
        <w:rPr>
          <w:rFonts w:ascii="Cambria" w:hAnsi="Cambria"/>
          <w:b/>
          <w:bCs/>
          <w:sz w:val="21"/>
          <w:szCs w:val="21"/>
        </w:rPr>
      </w:pPr>
      <w:r w:rsidRPr="007B7C5C">
        <w:rPr>
          <w:rFonts w:ascii="Cambria" w:hAnsi="Cambria"/>
          <w:b/>
          <w:bCs/>
          <w:sz w:val="21"/>
          <w:szCs w:val="21"/>
        </w:rPr>
        <w:t xml:space="preserve">Barometr Rynku Consumer Finance (BRCF) obniżył się w III kwartale 2026 r. do 101,5 pkt. Gospodarstwa domowe ostrożniej oceniają perspektywy własnej sytuacji finansowej, a we wszystkich analizowanych kategoriach zmniejszyła się </w:t>
      </w:r>
      <w:r w:rsidR="006708BD">
        <w:rPr>
          <w:rFonts w:ascii="Cambria" w:hAnsi="Cambria"/>
          <w:b/>
          <w:bCs/>
          <w:sz w:val="21"/>
          <w:szCs w:val="21"/>
        </w:rPr>
        <w:t xml:space="preserve">deklarowana </w:t>
      </w:r>
      <w:r w:rsidRPr="007B7C5C">
        <w:rPr>
          <w:rFonts w:ascii="Cambria" w:hAnsi="Cambria"/>
          <w:b/>
          <w:bCs/>
          <w:sz w:val="21"/>
          <w:szCs w:val="21"/>
        </w:rPr>
        <w:t>skłonność do finansowania większych wydatków kredytem. Jednocześnie nieco poprawiły się prognozy dotyczące sytuacji gospodarczej kraju.</w:t>
      </w:r>
    </w:p>
    <w:p w14:paraId="4190EB5D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6FA238BB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 xml:space="preserve">Związek Przedsiębiorstw Finansowych w Polsce (ZPF) opublikował najnowsze wyniki badania „Sytuacja na rynku </w:t>
      </w:r>
      <w:proofErr w:type="spellStart"/>
      <w:r w:rsidRPr="007B7C5C">
        <w:rPr>
          <w:rFonts w:ascii="Cambria" w:hAnsi="Cambria"/>
          <w:sz w:val="21"/>
          <w:szCs w:val="21"/>
        </w:rPr>
        <w:t>consumer</w:t>
      </w:r>
      <w:proofErr w:type="spellEnd"/>
      <w:r w:rsidRPr="007B7C5C">
        <w:rPr>
          <w:rFonts w:ascii="Cambria" w:hAnsi="Cambria"/>
          <w:sz w:val="21"/>
          <w:szCs w:val="21"/>
        </w:rPr>
        <w:t xml:space="preserve"> </w:t>
      </w:r>
      <w:proofErr w:type="spellStart"/>
      <w:r w:rsidRPr="007B7C5C">
        <w:rPr>
          <w:rFonts w:ascii="Cambria" w:hAnsi="Cambria"/>
          <w:sz w:val="21"/>
          <w:szCs w:val="21"/>
        </w:rPr>
        <w:t>finance</w:t>
      </w:r>
      <w:proofErr w:type="spellEnd"/>
      <w:r w:rsidRPr="007B7C5C">
        <w:rPr>
          <w:rFonts w:ascii="Cambria" w:hAnsi="Cambria"/>
          <w:sz w:val="21"/>
          <w:szCs w:val="21"/>
        </w:rPr>
        <w:t>”, realizowanego wspólnie z Instytutem Rozwoju Gospodarczego Szkoły Głównej Handlowej (IRG SGH).</w:t>
      </w:r>
    </w:p>
    <w:p w14:paraId="3D6757FE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40A78111" w14:textId="77777777" w:rsidR="007B7C5C" w:rsidRPr="007B7C5C" w:rsidRDefault="007B7C5C" w:rsidP="007B7C5C">
      <w:pPr>
        <w:jc w:val="both"/>
        <w:rPr>
          <w:rFonts w:ascii="Cambria" w:hAnsi="Cambria"/>
          <w:b/>
          <w:bCs/>
          <w:sz w:val="21"/>
          <w:szCs w:val="21"/>
        </w:rPr>
      </w:pPr>
      <w:r w:rsidRPr="007B7C5C">
        <w:rPr>
          <w:rFonts w:ascii="Cambria" w:hAnsi="Cambria"/>
          <w:b/>
          <w:bCs/>
          <w:sz w:val="21"/>
          <w:szCs w:val="21"/>
        </w:rPr>
        <w:t>BRCF niżej niż przed kwartałem</w:t>
      </w:r>
    </w:p>
    <w:p w14:paraId="750F4230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656B238C" w14:textId="7CCD8D3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>W III kwartale 2026 r. B</w:t>
      </w:r>
      <w:r>
        <w:rPr>
          <w:rFonts w:ascii="Cambria" w:hAnsi="Cambria"/>
          <w:sz w:val="21"/>
          <w:szCs w:val="21"/>
        </w:rPr>
        <w:t>RCF</w:t>
      </w:r>
      <w:r w:rsidRPr="007B7C5C">
        <w:rPr>
          <w:rFonts w:ascii="Cambria" w:hAnsi="Cambria"/>
          <w:sz w:val="21"/>
          <w:szCs w:val="21"/>
        </w:rPr>
        <w:t xml:space="preserve"> wyniósł 101,5 pkt., czyli o 3,1 pkt. mniej niż w poprzednim kwartale. W ujęciu rocznym wskaźnik </w:t>
      </w:r>
      <w:r w:rsidR="0006407B">
        <w:rPr>
          <w:rFonts w:ascii="Cambria" w:hAnsi="Cambria"/>
          <w:sz w:val="21"/>
          <w:szCs w:val="21"/>
        </w:rPr>
        <w:t xml:space="preserve">ten </w:t>
      </w:r>
      <w:r w:rsidRPr="007B7C5C">
        <w:rPr>
          <w:rFonts w:ascii="Cambria" w:hAnsi="Cambria"/>
          <w:sz w:val="21"/>
          <w:szCs w:val="21"/>
        </w:rPr>
        <w:t>wzrósł natomiast o 1 pkt. Nadal pozostaje powyżej wartości bazowej wynoszącej 100 pkt.</w:t>
      </w:r>
    </w:p>
    <w:p w14:paraId="03370D4B" w14:textId="77777777" w:rsidR="0006407B" w:rsidRDefault="0006407B" w:rsidP="007B7C5C">
      <w:pPr>
        <w:jc w:val="both"/>
        <w:rPr>
          <w:rFonts w:ascii="Cambria" w:hAnsi="Cambria"/>
          <w:sz w:val="21"/>
          <w:szCs w:val="21"/>
        </w:rPr>
      </w:pPr>
    </w:p>
    <w:p w14:paraId="5A3F924A" w14:textId="2081D27A" w:rsidR="007B7C5C" w:rsidRDefault="00BE07D4" w:rsidP="007B7C5C">
      <w:pPr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noProof/>
          <w:sz w:val="21"/>
          <w:szCs w:val="21"/>
          <w14:ligatures w14:val="standardContextual"/>
        </w:rPr>
        <w:drawing>
          <wp:inline distT="0" distB="0" distL="0" distR="0" wp14:anchorId="2F744D71" wp14:editId="345021A0">
            <wp:extent cx="5928360" cy="3112389"/>
            <wp:effectExtent l="0" t="0" r="0" b="0"/>
            <wp:docPr id="10849064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06449" name="Obraz 108490644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798" cy="312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5F6AB" w14:textId="77777777" w:rsidR="0006407B" w:rsidRPr="007B7C5C" w:rsidRDefault="0006407B" w:rsidP="007B7C5C">
      <w:pPr>
        <w:jc w:val="both"/>
        <w:rPr>
          <w:rFonts w:ascii="Cambria" w:hAnsi="Cambria"/>
          <w:sz w:val="21"/>
          <w:szCs w:val="21"/>
        </w:rPr>
      </w:pPr>
    </w:p>
    <w:p w14:paraId="53DC1851" w14:textId="67C78A53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 xml:space="preserve">Na obniżenie BRCF wpłynęły przede wszystkim słabsze </w:t>
      </w:r>
      <w:r w:rsidR="00BD0AA3">
        <w:rPr>
          <w:rFonts w:ascii="Cambria" w:hAnsi="Cambria"/>
          <w:sz w:val="21"/>
          <w:szCs w:val="21"/>
        </w:rPr>
        <w:t>oceny</w:t>
      </w:r>
      <w:r w:rsidRPr="007B7C5C">
        <w:rPr>
          <w:rFonts w:ascii="Cambria" w:hAnsi="Cambria"/>
          <w:sz w:val="21"/>
          <w:szCs w:val="21"/>
        </w:rPr>
        <w:t xml:space="preserve"> sytuacji finansowej gospodarstw domowych. Saldo prognoz własnej sytuacji finansowej spadło z -6,9 pkt. do -7,6 pkt. Bieżącą nadwyżkę finansową deklaruje 62,9 proc. </w:t>
      </w:r>
      <w:r w:rsidR="00BD0AA3">
        <w:rPr>
          <w:rFonts w:ascii="Cambria" w:hAnsi="Cambria"/>
          <w:sz w:val="21"/>
          <w:szCs w:val="21"/>
        </w:rPr>
        <w:t>gospodarstw</w:t>
      </w:r>
      <w:r w:rsidRPr="007B7C5C">
        <w:rPr>
          <w:rFonts w:ascii="Cambria" w:hAnsi="Cambria"/>
          <w:sz w:val="21"/>
          <w:szCs w:val="21"/>
        </w:rPr>
        <w:t>, wobec 64,7 proc. w II kwartale. Z 62,6 proc. do 61,7 proc. zmniejszył się również odsetek respondentów przewidujących bezproblemową obsługę zobowiązań w ciągu najbliższych 12 miesięcy.</w:t>
      </w:r>
    </w:p>
    <w:p w14:paraId="3D9DC9CC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69535FF0" w14:textId="46AC6610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 xml:space="preserve">– Wyniki </w:t>
      </w:r>
      <w:r w:rsidR="0006407B">
        <w:rPr>
          <w:rFonts w:ascii="Cambria" w:hAnsi="Cambria"/>
          <w:sz w:val="21"/>
          <w:szCs w:val="21"/>
        </w:rPr>
        <w:t>badania wskazują</w:t>
      </w:r>
      <w:r w:rsidRPr="007B7C5C">
        <w:rPr>
          <w:rFonts w:ascii="Cambria" w:hAnsi="Cambria"/>
          <w:sz w:val="21"/>
          <w:szCs w:val="21"/>
        </w:rPr>
        <w:t xml:space="preserve">, że gospodarstwa domowe ostrożniej </w:t>
      </w:r>
      <w:r w:rsidR="00D12561">
        <w:rPr>
          <w:rFonts w:ascii="Cambria" w:hAnsi="Cambria"/>
          <w:sz w:val="21"/>
          <w:szCs w:val="21"/>
        </w:rPr>
        <w:t>postrzegają</w:t>
      </w:r>
      <w:r w:rsidRPr="007B7C5C">
        <w:rPr>
          <w:rFonts w:ascii="Cambria" w:hAnsi="Cambria"/>
          <w:sz w:val="21"/>
          <w:szCs w:val="21"/>
        </w:rPr>
        <w:t xml:space="preserve"> własne finanse, mimo nieco lepszych ocen perspektyw gospodarczych kraju. To ważne rozróżnienie. Przy podejmowaniu decyzji o nowym zobowiązaniu znaczenie ma nie tylko sytuacja w gospodarce, ale przede wszystkim ocena własnego budżetu i</w:t>
      </w:r>
      <w:r w:rsidR="00D12561">
        <w:rPr>
          <w:rFonts w:ascii="Cambria" w:hAnsi="Cambria"/>
          <w:sz w:val="21"/>
          <w:szCs w:val="21"/>
        </w:rPr>
        <w:t xml:space="preserve"> zdolności do</w:t>
      </w:r>
      <w:r w:rsidRPr="007B7C5C">
        <w:rPr>
          <w:rFonts w:ascii="Cambria" w:hAnsi="Cambria"/>
          <w:sz w:val="21"/>
          <w:szCs w:val="21"/>
        </w:rPr>
        <w:t xml:space="preserve"> regulowania zobowiązań w kolejnych miesiącach – </w:t>
      </w:r>
      <w:r w:rsidR="002B539C">
        <w:rPr>
          <w:rFonts w:ascii="Cambria" w:hAnsi="Cambria"/>
          <w:sz w:val="21"/>
          <w:szCs w:val="21"/>
        </w:rPr>
        <w:t>wyjaśnia</w:t>
      </w:r>
      <w:r w:rsidRPr="007B7C5C">
        <w:rPr>
          <w:rFonts w:ascii="Cambria" w:hAnsi="Cambria"/>
          <w:sz w:val="21"/>
          <w:szCs w:val="21"/>
        </w:rPr>
        <w:t xml:space="preserve"> Agnieszka Kozioł, Dyrektor Departamentu Raportów i Analiz ZPF.</w:t>
      </w:r>
    </w:p>
    <w:p w14:paraId="3E94694E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5E98BD7C" w14:textId="38AB6ACC" w:rsidR="007B7C5C" w:rsidRPr="007B7C5C" w:rsidRDefault="002B539C" w:rsidP="007B7C5C">
      <w:pPr>
        <w:jc w:val="both"/>
        <w:rPr>
          <w:rFonts w:ascii="Cambria" w:hAnsi="Cambria"/>
          <w:b/>
          <w:bCs/>
          <w:sz w:val="21"/>
          <w:szCs w:val="21"/>
        </w:rPr>
      </w:pPr>
      <w:r w:rsidRPr="002B539C">
        <w:rPr>
          <w:rFonts w:ascii="Cambria" w:hAnsi="Cambria"/>
          <w:b/>
          <w:bCs/>
          <w:sz w:val="21"/>
          <w:szCs w:val="21"/>
        </w:rPr>
        <w:lastRenderedPageBreak/>
        <w:t>Polacy rzadziej planują finansować większe wydatki kredytem</w:t>
      </w:r>
    </w:p>
    <w:p w14:paraId="24AA2A52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2F265153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>Deklaracje dotyczące większych wydatków różnią się w zależności od ich rodzaju. Zakup dóbr trwałego użytku w ciągu najbliższych 12 miesięcy bierze pod uwagę 54,3 proc. badanych, wobec 53 proc. w II kwartale. Zwiększył się także odsetek osób zamierzających przeprowadzić remont domu lub mieszkania – z 27,4 proc. do 30,8 proc.</w:t>
      </w:r>
    </w:p>
    <w:p w14:paraId="6C0AA634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6F971CE9" w14:textId="691F4BE6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>Mniej osób rozważa natomiast zakup samochodu. W III kwartale taką możliwość deklaruje 13,3 proc. gospodarstw domowych, wobec 15 proc. kwartał wcześniej. W przypadku zakup</w:t>
      </w:r>
      <w:r w:rsidR="000E25F4">
        <w:rPr>
          <w:rFonts w:ascii="Cambria" w:hAnsi="Cambria"/>
          <w:sz w:val="21"/>
          <w:szCs w:val="21"/>
        </w:rPr>
        <w:t>u</w:t>
      </w:r>
      <w:r w:rsidRPr="007B7C5C">
        <w:rPr>
          <w:rFonts w:ascii="Cambria" w:hAnsi="Cambria"/>
          <w:sz w:val="21"/>
          <w:szCs w:val="21"/>
        </w:rPr>
        <w:t xml:space="preserve"> domu bądź mieszkania odsetek ten zmniejszył się z 15,7 proc. do 13,6 proc.</w:t>
      </w:r>
    </w:p>
    <w:p w14:paraId="133D18F3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29F2D0F6" w14:textId="453A361C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 xml:space="preserve">We wszystkich analizowanych kategoriach zmniejszyła się jednocześnie skłonność do finansowania wydatków kredytem. Największą zmianę odnotowano przy zakupie samochodu. Skorzystanie z kredytu deklaruje 73,6 proc. </w:t>
      </w:r>
      <w:r w:rsidR="00442436" w:rsidRPr="00442436">
        <w:rPr>
          <w:rFonts w:ascii="Cambria" w:hAnsi="Cambria"/>
          <w:sz w:val="21"/>
          <w:szCs w:val="21"/>
        </w:rPr>
        <w:t>gospodarstw domowych</w:t>
      </w:r>
      <w:r w:rsidRPr="007B7C5C">
        <w:rPr>
          <w:rFonts w:ascii="Cambria" w:hAnsi="Cambria"/>
          <w:sz w:val="21"/>
          <w:szCs w:val="21"/>
        </w:rPr>
        <w:t xml:space="preserve"> rozważających taki wydatek, wobec 80,7 proc. w II kwartale. W przypadku dóbr trwałych odsetek ten obniżył się z 47 proc. do 44,3 proc. Niewielkie spadki odnotowano również przy remontach – z 47,6 proc. do 47 proc. – oraz przy zakupie nieruchomości – z 73,3 proc. do 72,9 proc.</w:t>
      </w:r>
    </w:p>
    <w:p w14:paraId="6347270F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3BB26568" w14:textId="26853CF3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 xml:space="preserve">– Decyzja o </w:t>
      </w:r>
      <w:r>
        <w:rPr>
          <w:rFonts w:ascii="Cambria" w:hAnsi="Cambria"/>
          <w:sz w:val="21"/>
          <w:szCs w:val="21"/>
        </w:rPr>
        <w:t>droższym</w:t>
      </w:r>
      <w:r w:rsidRPr="007B7C5C">
        <w:rPr>
          <w:rFonts w:ascii="Cambria" w:hAnsi="Cambria"/>
          <w:sz w:val="21"/>
          <w:szCs w:val="21"/>
        </w:rPr>
        <w:t xml:space="preserve"> zakupie i</w:t>
      </w:r>
      <w:r w:rsidR="002B539C">
        <w:rPr>
          <w:rFonts w:ascii="Cambria" w:hAnsi="Cambria"/>
          <w:sz w:val="21"/>
          <w:szCs w:val="21"/>
        </w:rPr>
        <w:t xml:space="preserve"> </w:t>
      </w:r>
      <w:r w:rsidRPr="007B7C5C">
        <w:rPr>
          <w:rFonts w:ascii="Cambria" w:hAnsi="Cambria"/>
          <w:sz w:val="21"/>
          <w:szCs w:val="21"/>
        </w:rPr>
        <w:t xml:space="preserve">o skorzystaniu z finansowania nie zawsze idą w parze. Widać to szczególnie przy dobrach trwałych i remontach: więcej osób bierze pod uwagę takie wydatki, a jednocześnie mniejsza część deklaruje zamiar sfinansowania ich kredytem. Dla firm działających na rynku </w:t>
      </w:r>
      <w:proofErr w:type="spellStart"/>
      <w:r w:rsidRPr="007B7C5C">
        <w:rPr>
          <w:rFonts w:ascii="Cambria" w:hAnsi="Cambria"/>
          <w:sz w:val="21"/>
          <w:szCs w:val="21"/>
        </w:rPr>
        <w:t>consumer</w:t>
      </w:r>
      <w:proofErr w:type="spellEnd"/>
      <w:r w:rsidRPr="007B7C5C">
        <w:rPr>
          <w:rFonts w:ascii="Cambria" w:hAnsi="Cambria"/>
          <w:sz w:val="21"/>
          <w:szCs w:val="21"/>
        </w:rPr>
        <w:t xml:space="preserve"> </w:t>
      </w:r>
      <w:proofErr w:type="spellStart"/>
      <w:r w:rsidRPr="007B7C5C">
        <w:rPr>
          <w:rFonts w:ascii="Cambria" w:hAnsi="Cambria"/>
          <w:sz w:val="21"/>
          <w:szCs w:val="21"/>
        </w:rPr>
        <w:t>finance</w:t>
      </w:r>
      <w:proofErr w:type="spellEnd"/>
      <w:r w:rsidRPr="007B7C5C">
        <w:rPr>
          <w:rFonts w:ascii="Cambria" w:hAnsi="Cambria"/>
          <w:sz w:val="21"/>
          <w:szCs w:val="21"/>
        </w:rPr>
        <w:t xml:space="preserve"> oznacza to, że sama gotowość konsumentów do ponoszenia większych wydatków nie przesądza jeszcze o zainteresowaniu finansowaniem – wskazuje Agnieszka Kozioł.</w:t>
      </w:r>
    </w:p>
    <w:p w14:paraId="45E92365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1BFFA0A7" w14:textId="77777777" w:rsidR="007B7C5C" w:rsidRPr="002B539C" w:rsidRDefault="007B7C5C" w:rsidP="007B7C5C">
      <w:pPr>
        <w:jc w:val="both"/>
        <w:rPr>
          <w:rFonts w:ascii="Cambria" w:hAnsi="Cambria"/>
          <w:b/>
          <w:bCs/>
          <w:sz w:val="21"/>
          <w:szCs w:val="21"/>
        </w:rPr>
      </w:pPr>
      <w:r w:rsidRPr="002B539C">
        <w:rPr>
          <w:rFonts w:ascii="Cambria" w:hAnsi="Cambria"/>
          <w:b/>
          <w:bCs/>
          <w:sz w:val="21"/>
          <w:szCs w:val="21"/>
        </w:rPr>
        <w:t>Nieco lepsze prognozy dla gospodarki</w:t>
      </w:r>
    </w:p>
    <w:p w14:paraId="38C2DAAB" w14:textId="77777777" w:rsidR="007B7C5C" w:rsidRPr="007B7C5C" w:rsidRDefault="007B7C5C" w:rsidP="007B7C5C">
      <w:pPr>
        <w:jc w:val="both"/>
        <w:rPr>
          <w:rFonts w:ascii="Cambria" w:hAnsi="Cambria"/>
          <w:sz w:val="21"/>
          <w:szCs w:val="21"/>
        </w:rPr>
      </w:pPr>
    </w:p>
    <w:p w14:paraId="2AF688D6" w14:textId="77777777" w:rsidR="006216BA" w:rsidRDefault="007B7C5C" w:rsidP="007B7C5C">
      <w:pPr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>Na tle ostrożniejszych ocen własnych finansów nieznacznie poprawiły się prognozy dotyczące sytuacji gospodarczej kraju. Saldo prognoz ogólnej sytuacji ekonomicznej Polski wyniosło w III kwartale -15,2 pkt., wobec -17,3 pkt. trzy miesiące wcześniej. Nadal jest jednak niższe niż przed rokiem, kiedy wynosiło -13,3 pkt.</w:t>
      </w:r>
    </w:p>
    <w:p w14:paraId="58724DC7" w14:textId="77777777" w:rsidR="006216BA" w:rsidRDefault="006216BA" w:rsidP="007B7C5C">
      <w:pPr>
        <w:jc w:val="both"/>
        <w:rPr>
          <w:rFonts w:ascii="Cambria" w:hAnsi="Cambria"/>
          <w:sz w:val="21"/>
          <w:szCs w:val="21"/>
        </w:rPr>
      </w:pPr>
    </w:p>
    <w:p w14:paraId="4BFD97BE" w14:textId="190E8A71" w:rsidR="007B7C5C" w:rsidRPr="007B7C5C" w:rsidRDefault="00F57D18" w:rsidP="007B7C5C">
      <w:pPr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Nieznacznie z</w:t>
      </w:r>
      <w:r w:rsidR="007B7C5C" w:rsidRPr="007B7C5C">
        <w:rPr>
          <w:rFonts w:ascii="Cambria" w:hAnsi="Cambria"/>
          <w:sz w:val="21"/>
          <w:szCs w:val="21"/>
        </w:rPr>
        <w:t xml:space="preserve">mniejszyły się również obawy dotyczące bezrobocia. Saldo prognoz, liczone w odwróconej skali, wyniosło -34,9 pkt., wobec -35,1 pkt. w </w:t>
      </w:r>
      <w:r w:rsidR="006216BA">
        <w:rPr>
          <w:rFonts w:ascii="Cambria" w:hAnsi="Cambria"/>
          <w:sz w:val="21"/>
          <w:szCs w:val="21"/>
        </w:rPr>
        <w:t>ubiegłym</w:t>
      </w:r>
      <w:r w:rsidR="007B7C5C" w:rsidRPr="007B7C5C">
        <w:rPr>
          <w:rFonts w:ascii="Cambria" w:hAnsi="Cambria"/>
          <w:sz w:val="21"/>
          <w:szCs w:val="21"/>
        </w:rPr>
        <w:t xml:space="preserve"> kwartale. Także w tym przypadku wynik pozostaje słabszy niż przed rokiem, gdy saldo wynosiło -29,4 pkt.</w:t>
      </w:r>
    </w:p>
    <w:p w14:paraId="18F9A972" w14:textId="77777777" w:rsidR="002B539C" w:rsidRDefault="002B539C" w:rsidP="002B539C">
      <w:pPr>
        <w:jc w:val="center"/>
        <w:rPr>
          <w:rFonts w:ascii="Cambria" w:hAnsi="Cambria"/>
          <w:b/>
          <w:bCs/>
          <w:sz w:val="21"/>
          <w:szCs w:val="21"/>
        </w:rPr>
      </w:pPr>
    </w:p>
    <w:p w14:paraId="5AB32D7D" w14:textId="33AD433F" w:rsidR="007B7C5C" w:rsidRDefault="002B539C" w:rsidP="002B539C">
      <w:pPr>
        <w:jc w:val="center"/>
        <w:rPr>
          <w:rFonts w:ascii="Cambria" w:hAnsi="Cambria"/>
          <w:b/>
          <w:bCs/>
          <w:sz w:val="21"/>
          <w:szCs w:val="21"/>
        </w:rPr>
      </w:pPr>
      <w:r>
        <w:rPr>
          <w:rFonts w:ascii="Cambria" w:hAnsi="Cambria"/>
          <w:b/>
          <w:bCs/>
          <w:sz w:val="21"/>
          <w:szCs w:val="21"/>
        </w:rPr>
        <w:t>***</w:t>
      </w:r>
    </w:p>
    <w:p w14:paraId="0D71D0D1" w14:textId="77777777" w:rsidR="00914D6A" w:rsidRDefault="00914D6A" w:rsidP="002B539C">
      <w:pPr>
        <w:jc w:val="center"/>
        <w:rPr>
          <w:rFonts w:ascii="Cambria" w:hAnsi="Cambria"/>
          <w:b/>
          <w:bCs/>
          <w:sz w:val="21"/>
          <w:szCs w:val="21"/>
        </w:rPr>
      </w:pPr>
    </w:p>
    <w:p w14:paraId="686CC20A" w14:textId="30E77753" w:rsidR="00914D6A" w:rsidRPr="00914D6A" w:rsidRDefault="00914D6A" w:rsidP="00914D6A">
      <w:pPr>
        <w:jc w:val="both"/>
        <w:rPr>
          <w:rFonts w:ascii="Cambria" w:hAnsi="Cambria"/>
          <w:sz w:val="21"/>
          <w:szCs w:val="21"/>
        </w:rPr>
      </w:pPr>
      <w:r w:rsidRPr="00914D6A">
        <w:rPr>
          <w:rFonts w:ascii="Cambria" w:hAnsi="Cambria"/>
          <w:b/>
          <w:bCs/>
          <w:sz w:val="21"/>
          <w:szCs w:val="21"/>
        </w:rPr>
        <w:t>Barometr Rynku Consumer Finance (BRCF)</w:t>
      </w:r>
      <w:r w:rsidRPr="00914D6A">
        <w:rPr>
          <w:rFonts w:ascii="Cambria" w:hAnsi="Cambria"/>
          <w:sz w:val="21"/>
          <w:szCs w:val="21"/>
        </w:rPr>
        <w:t xml:space="preserve"> to wskaźnik pokazujący aktualne nastroje konsumentów i pozwalający przewidywać m.in. ich skłonność do zaciągania zobowiązań. Podczas badania branych jest pod uwagę </w:t>
      </w:r>
      <w:r w:rsidR="00C76AA3">
        <w:rPr>
          <w:rFonts w:ascii="Cambria" w:hAnsi="Cambria"/>
          <w:sz w:val="21"/>
          <w:szCs w:val="21"/>
        </w:rPr>
        <w:t>wiele</w:t>
      </w:r>
      <w:r w:rsidRPr="00914D6A">
        <w:rPr>
          <w:rFonts w:ascii="Cambria" w:hAnsi="Cambria"/>
          <w:sz w:val="21"/>
          <w:szCs w:val="21"/>
        </w:rPr>
        <w:t xml:space="preserve"> czynników, jak np. ogólna sytuacja gospodarcza Polski, ocena sytuacji finansowej Polaków, prognozy wydatków na remont mieszkania, zakup samochodu. Sytuacja na rynku </w:t>
      </w:r>
      <w:proofErr w:type="spellStart"/>
      <w:r w:rsidRPr="00914D6A">
        <w:rPr>
          <w:rFonts w:ascii="Cambria" w:hAnsi="Cambria"/>
          <w:sz w:val="21"/>
          <w:szCs w:val="21"/>
        </w:rPr>
        <w:t>consumer</w:t>
      </w:r>
      <w:proofErr w:type="spellEnd"/>
      <w:r w:rsidRPr="00914D6A">
        <w:rPr>
          <w:rFonts w:ascii="Cambria" w:hAnsi="Cambria"/>
          <w:sz w:val="21"/>
          <w:szCs w:val="21"/>
        </w:rPr>
        <w:t xml:space="preserve"> </w:t>
      </w:r>
      <w:proofErr w:type="spellStart"/>
      <w:r w:rsidRPr="00914D6A">
        <w:rPr>
          <w:rFonts w:ascii="Cambria" w:hAnsi="Cambria"/>
          <w:sz w:val="21"/>
          <w:szCs w:val="21"/>
        </w:rPr>
        <w:t>finance</w:t>
      </w:r>
      <w:proofErr w:type="spellEnd"/>
      <w:r w:rsidRPr="00914D6A">
        <w:rPr>
          <w:rFonts w:ascii="Cambria" w:hAnsi="Cambria"/>
          <w:sz w:val="21"/>
          <w:szCs w:val="21"/>
        </w:rPr>
        <w:t xml:space="preserve"> to badanie realizowane od 2006 r. w odstępach kwartalnych przez ZPF oraz IRG SGH.</w:t>
      </w:r>
    </w:p>
    <w:p w14:paraId="2F5CE4B5" w14:textId="77777777" w:rsidR="00914D6A" w:rsidRPr="00914D6A" w:rsidRDefault="00914D6A" w:rsidP="00914D6A">
      <w:pPr>
        <w:jc w:val="both"/>
        <w:rPr>
          <w:rFonts w:ascii="Cambria" w:hAnsi="Cambria"/>
          <w:sz w:val="21"/>
          <w:szCs w:val="21"/>
        </w:rPr>
      </w:pPr>
    </w:p>
    <w:p w14:paraId="377EF39A" w14:textId="77777777" w:rsidR="00914D6A" w:rsidRPr="00914D6A" w:rsidRDefault="00914D6A" w:rsidP="00914D6A">
      <w:pPr>
        <w:jc w:val="both"/>
        <w:rPr>
          <w:rFonts w:ascii="Cambria" w:hAnsi="Cambria"/>
          <w:sz w:val="21"/>
          <w:szCs w:val="21"/>
        </w:rPr>
      </w:pPr>
    </w:p>
    <w:p w14:paraId="0EDE37CB" w14:textId="77777777" w:rsidR="002C6DB1" w:rsidRPr="007B7C5C" w:rsidRDefault="002C6DB1" w:rsidP="00E319EA">
      <w:pPr>
        <w:jc w:val="both"/>
        <w:rPr>
          <w:rFonts w:ascii="Cambria" w:hAnsi="Cambria" w:cs="Calibri"/>
          <w:iCs/>
          <w:color w:val="auto"/>
          <w:spacing w:val="-2"/>
          <w:sz w:val="21"/>
          <w:szCs w:val="21"/>
        </w:rPr>
      </w:pPr>
    </w:p>
    <w:p w14:paraId="203EA17E" w14:textId="77777777" w:rsidR="006F342F" w:rsidRPr="007B7C5C" w:rsidRDefault="006F342F" w:rsidP="00FF60A6">
      <w:pPr>
        <w:jc w:val="center"/>
        <w:rPr>
          <w:rFonts w:ascii="Cambria" w:hAnsi="Cambria" w:cs="Calibri"/>
          <w:iCs/>
          <w:color w:val="auto"/>
          <w:spacing w:val="-2"/>
          <w:sz w:val="21"/>
          <w:szCs w:val="21"/>
        </w:rPr>
      </w:pPr>
      <w:r w:rsidRPr="007B7C5C">
        <w:rPr>
          <w:rFonts w:ascii="Cambria" w:hAnsi="Cambria" w:cs="Calibri"/>
          <w:iCs/>
          <w:color w:val="auto"/>
          <w:spacing w:val="-2"/>
          <w:sz w:val="21"/>
          <w:szCs w:val="21"/>
        </w:rPr>
        <w:t>***</w:t>
      </w:r>
    </w:p>
    <w:p w14:paraId="411E3F87" w14:textId="77777777" w:rsidR="0065044E" w:rsidRPr="007B7C5C" w:rsidRDefault="0065044E" w:rsidP="0065044E">
      <w:pPr>
        <w:rPr>
          <w:rFonts w:ascii="Cambria" w:hAnsi="Cambria"/>
          <w:sz w:val="21"/>
          <w:szCs w:val="21"/>
        </w:rPr>
      </w:pPr>
    </w:p>
    <w:p w14:paraId="400398A9" w14:textId="77777777" w:rsidR="0065044E" w:rsidRPr="007B7C5C" w:rsidRDefault="0065044E" w:rsidP="0065044E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b/>
          <w:bCs/>
          <w:sz w:val="21"/>
          <w:szCs w:val="21"/>
        </w:rPr>
        <w:t>Związek Przedsiębiorstw Finansowych w Polsce</w:t>
      </w:r>
      <w:r w:rsidRPr="007B7C5C">
        <w:rPr>
          <w:rFonts w:ascii="Cambria" w:hAnsi="Cambria"/>
          <w:sz w:val="21"/>
          <w:szCs w:val="21"/>
        </w:rPr>
        <w:t xml:space="preserve"> (wcześniej Konferencja Przedsiębiorstw Finansowych w Polsce) powstał 27 października 1999 roku i obecnie skupia ponad 110 przedsiębiorstw z wielu sektorów polskiego rynku finansowego, w tym bankowości, zarządzania wierzytelnościami, pośredników finansowych, instytucji pożyczkowych, zarządzających informacją gospodarczą, odwróconej hipoteki w modelu sprzedażowym, </w:t>
      </w:r>
      <w:proofErr w:type="spellStart"/>
      <w:r w:rsidRPr="007B7C5C">
        <w:rPr>
          <w:rFonts w:ascii="Cambria" w:hAnsi="Cambria"/>
          <w:sz w:val="21"/>
          <w:szCs w:val="21"/>
        </w:rPr>
        <w:t>fintech</w:t>
      </w:r>
      <w:proofErr w:type="spellEnd"/>
      <w:r w:rsidRPr="007B7C5C">
        <w:rPr>
          <w:rFonts w:ascii="Cambria" w:hAnsi="Cambria"/>
          <w:sz w:val="21"/>
          <w:szCs w:val="21"/>
        </w:rPr>
        <w:t xml:space="preserve">. Jest największą </w:t>
      </w:r>
      <w:proofErr w:type="spellStart"/>
      <w:r w:rsidRPr="007B7C5C">
        <w:rPr>
          <w:rFonts w:ascii="Cambria" w:hAnsi="Cambria"/>
          <w:sz w:val="21"/>
          <w:szCs w:val="21"/>
        </w:rPr>
        <w:t>multisektorową</w:t>
      </w:r>
      <w:proofErr w:type="spellEnd"/>
      <w:r w:rsidRPr="007B7C5C">
        <w:rPr>
          <w:rFonts w:ascii="Cambria" w:hAnsi="Cambria"/>
          <w:sz w:val="21"/>
          <w:szCs w:val="21"/>
        </w:rPr>
        <w:t xml:space="preserve"> organizacją podmiotów rynku finansowego w Polsce.</w:t>
      </w:r>
    </w:p>
    <w:p w14:paraId="650450C7" w14:textId="77777777" w:rsidR="0065044E" w:rsidRPr="007B7C5C" w:rsidRDefault="0065044E" w:rsidP="0065044E">
      <w:pPr>
        <w:spacing w:line="276" w:lineRule="auto"/>
        <w:jc w:val="both"/>
        <w:rPr>
          <w:rFonts w:ascii="Cambria" w:hAnsi="Cambria"/>
          <w:sz w:val="21"/>
          <w:szCs w:val="21"/>
        </w:rPr>
      </w:pPr>
    </w:p>
    <w:p w14:paraId="719BC3C6" w14:textId="77777777" w:rsidR="0065044E" w:rsidRPr="007B7C5C" w:rsidRDefault="0065044E" w:rsidP="0065044E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>Od ponad 25 lat ZPF działa na rzecz rozwoju rynku finansowego w Polsce i podnoszenia standardów etycznych w branży, występuje aktywnie jako partner społeczny w procesach legislacyjnych, a także reprezentuje polskie instytucje finansowe w UE. ZPF to członek dwóch organizacji samorządowych na szczeblu europejskim: EUROFINAS (</w:t>
      </w:r>
      <w:proofErr w:type="spellStart"/>
      <w:r w:rsidRPr="007B7C5C">
        <w:rPr>
          <w:rFonts w:ascii="Cambria" w:hAnsi="Cambria"/>
          <w:sz w:val="21"/>
          <w:szCs w:val="21"/>
        </w:rPr>
        <w:t>European</w:t>
      </w:r>
      <w:proofErr w:type="spellEnd"/>
      <w:r w:rsidRPr="007B7C5C">
        <w:rPr>
          <w:rFonts w:ascii="Cambria" w:hAnsi="Cambria"/>
          <w:sz w:val="21"/>
          <w:szCs w:val="21"/>
        </w:rPr>
        <w:t xml:space="preserve"> </w:t>
      </w:r>
      <w:proofErr w:type="spellStart"/>
      <w:r w:rsidRPr="007B7C5C">
        <w:rPr>
          <w:rFonts w:ascii="Cambria" w:hAnsi="Cambria"/>
          <w:sz w:val="21"/>
          <w:szCs w:val="21"/>
        </w:rPr>
        <w:t>Federation</w:t>
      </w:r>
      <w:proofErr w:type="spellEnd"/>
      <w:r w:rsidRPr="007B7C5C">
        <w:rPr>
          <w:rFonts w:ascii="Cambria" w:hAnsi="Cambria"/>
          <w:sz w:val="21"/>
          <w:szCs w:val="21"/>
        </w:rPr>
        <w:t xml:space="preserve"> of Finance House </w:t>
      </w:r>
      <w:proofErr w:type="spellStart"/>
      <w:r w:rsidRPr="007B7C5C">
        <w:rPr>
          <w:rFonts w:ascii="Cambria" w:hAnsi="Cambria"/>
          <w:sz w:val="21"/>
          <w:szCs w:val="21"/>
        </w:rPr>
        <w:t>Associations</w:t>
      </w:r>
      <w:proofErr w:type="spellEnd"/>
      <w:r w:rsidRPr="007B7C5C">
        <w:rPr>
          <w:rFonts w:ascii="Cambria" w:hAnsi="Cambria"/>
          <w:sz w:val="21"/>
          <w:szCs w:val="21"/>
        </w:rPr>
        <w:t>), zrzeszającej instytucje związane z rynkiem kredytu konsumenckiego w Europie oraz FENCA (</w:t>
      </w:r>
      <w:proofErr w:type="spellStart"/>
      <w:r w:rsidRPr="007B7C5C">
        <w:rPr>
          <w:rFonts w:ascii="Cambria" w:hAnsi="Cambria"/>
          <w:sz w:val="21"/>
          <w:szCs w:val="21"/>
        </w:rPr>
        <w:t>Federation</w:t>
      </w:r>
      <w:proofErr w:type="spellEnd"/>
      <w:r w:rsidRPr="007B7C5C">
        <w:rPr>
          <w:rFonts w:ascii="Cambria" w:hAnsi="Cambria"/>
          <w:sz w:val="21"/>
          <w:szCs w:val="21"/>
        </w:rPr>
        <w:t xml:space="preserve"> of </w:t>
      </w:r>
      <w:proofErr w:type="spellStart"/>
      <w:r w:rsidRPr="007B7C5C">
        <w:rPr>
          <w:rFonts w:ascii="Cambria" w:hAnsi="Cambria"/>
          <w:sz w:val="21"/>
          <w:szCs w:val="21"/>
        </w:rPr>
        <w:t>European</w:t>
      </w:r>
      <w:proofErr w:type="spellEnd"/>
      <w:r w:rsidRPr="007B7C5C">
        <w:rPr>
          <w:rFonts w:ascii="Cambria" w:hAnsi="Cambria"/>
          <w:sz w:val="21"/>
          <w:szCs w:val="21"/>
        </w:rPr>
        <w:t xml:space="preserve"> </w:t>
      </w:r>
      <w:proofErr w:type="spellStart"/>
      <w:r w:rsidRPr="007B7C5C">
        <w:rPr>
          <w:rFonts w:ascii="Cambria" w:hAnsi="Cambria"/>
          <w:sz w:val="21"/>
          <w:szCs w:val="21"/>
        </w:rPr>
        <w:t>National</w:t>
      </w:r>
      <w:proofErr w:type="spellEnd"/>
      <w:r w:rsidRPr="007B7C5C">
        <w:rPr>
          <w:rFonts w:ascii="Cambria" w:hAnsi="Cambria"/>
          <w:sz w:val="21"/>
          <w:szCs w:val="21"/>
        </w:rPr>
        <w:t xml:space="preserve"> Collection </w:t>
      </w:r>
      <w:proofErr w:type="spellStart"/>
      <w:r w:rsidRPr="007B7C5C">
        <w:rPr>
          <w:rFonts w:ascii="Cambria" w:hAnsi="Cambria"/>
          <w:sz w:val="21"/>
          <w:szCs w:val="21"/>
        </w:rPr>
        <w:t>Associations</w:t>
      </w:r>
      <w:proofErr w:type="spellEnd"/>
      <w:r w:rsidRPr="007B7C5C">
        <w:rPr>
          <w:rFonts w:ascii="Cambria" w:hAnsi="Cambria"/>
          <w:sz w:val="21"/>
          <w:szCs w:val="21"/>
        </w:rPr>
        <w:t>), która reprezentuje interesy sektora zarządzania wierzytelnościami w Europie.</w:t>
      </w:r>
    </w:p>
    <w:p w14:paraId="7FB268D4" w14:textId="77777777" w:rsidR="0065044E" w:rsidRPr="007B7C5C" w:rsidRDefault="0065044E" w:rsidP="0065044E">
      <w:pPr>
        <w:spacing w:line="276" w:lineRule="auto"/>
        <w:jc w:val="both"/>
        <w:rPr>
          <w:rFonts w:ascii="Cambria" w:hAnsi="Cambria"/>
          <w:sz w:val="21"/>
          <w:szCs w:val="21"/>
        </w:rPr>
      </w:pPr>
    </w:p>
    <w:p w14:paraId="7A6C8E6A" w14:textId="77777777" w:rsidR="0065044E" w:rsidRPr="007B7C5C" w:rsidRDefault="0065044E" w:rsidP="0065044E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7B7C5C">
        <w:rPr>
          <w:rFonts w:ascii="Cambria" w:hAnsi="Cambria"/>
          <w:sz w:val="21"/>
          <w:szCs w:val="21"/>
        </w:rPr>
        <w:t xml:space="preserve">ZPF ma w swoim dorobku badawczym kilkaset raportów branżowych. Jest też organizatorem kongresów, </w:t>
      </w:r>
      <w:proofErr w:type="spellStart"/>
      <w:r w:rsidRPr="007B7C5C">
        <w:rPr>
          <w:rFonts w:ascii="Cambria" w:hAnsi="Cambria"/>
          <w:sz w:val="21"/>
          <w:szCs w:val="21"/>
        </w:rPr>
        <w:t>webinarów</w:t>
      </w:r>
      <w:proofErr w:type="spellEnd"/>
      <w:r w:rsidRPr="007B7C5C">
        <w:rPr>
          <w:rFonts w:ascii="Cambria" w:hAnsi="Cambria"/>
          <w:sz w:val="21"/>
          <w:szCs w:val="21"/>
        </w:rPr>
        <w:t xml:space="preserve"> i innych inicjatyw dla branży finansowej.</w:t>
      </w:r>
    </w:p>
    <w:p w14:paraId="31A06D06" w14:textId="77777777" w:rsidR="0065044E" w:rsidRPr="007B7C5C" w:rsidRDefault="0065044E" w:rsidP="0065044E">
      <w:pPr>
        <w:jc w:val="both"/>
        <w:rPr>
          <w:rFonts w:ascii="Cambria" w:hAnsi="Cambria"/>
          <w:sz w:val="21"/>
          <w:szCs w:val="21"/>
        </w:rPr>
      </w:pPr>
    </w:p>
    <w:p w14:paraId="72834409" w14:textId="43D74EF7" w:rsidR="0065044E" w:rsidRPr="007B7C5C" w:rsidRDefault="0065044E" w:rsidP="0065044E">
      <w:pPr>
        <w:jc w:val="both"/>
        <w:rPr>
          <w:rFonts w:ascii="Cambria" w:hAnsi="Cambria"/>
          <w:b/>
          <w:color w:val="000090"/>
          <w:sz w:val="21"/>
          <w:szCs w:val="21"/>
        </w:rPr>
      </w:pPr>
      <w:r w:rsidRPr="007B7C5C">
        <w:rPr>
          <w:rFonts w:ascii="Cambria" w:hAnsi="Cambria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28938FE2" wp14:editId="1510E2BE">
            <wp:simplePos x="0" y="0"/>
            <wp:positionH relativeFrom="margin">
              <wp:align>left</wp:align>
            </wp:positionH>
            <wp:positionV relativeFrom="paragraph">
              <wp:posOffset>74930</wp:posOffset>
            </wp:positionV>
            <wp:extent cx="252095" cy="252095"/>
            <wp:effectExtent l="0" t="0" r="0" b="0"/>
            <wp:wrapSquare wrapText="bothSides"/>
            <wp:docPr id="611109592" name="Obraz 1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60AB3" w14:textId="77777777" w:rsidR="0065044E" w:rsidRPr="007B7C5C" w:rsidRDefault="0065044E" w:rsidP="0065044E">
      <w:pPr>
        <w:jc w:val="both"/>
        <w:rPr>
          <w:rStyle w:val="Hipercze"/>
          <w:rFonts w:ascii="Cambria" w:eastAsiaTheme="majorEastAsia" w:hAnsi="Cambria"/>
          <w:sz w:val="21"/>
          <w:szCs w:val="21"/>
        </w:rPr>
      </w:pPr>
      <w:hyperlink r:id="rId9" w:history="1">
        <w:r w:rsidRPr="007B7C5C">
          <w:rPr>
            <w:rStyle w:val="Hipercze"/>
            <w:rFonts w:ascii="Cambria" w:eastAsiaTheme="majorEastAsia" w:hAnsi="Cambria"/>
            <w:sz w:val="21"/>
            <w:szCs w:val="21"/>
          </w:rPr>
          <w:t>http://www.linkedin.com/company/zpf</w:t>
        </w:r>
      </w:hyperlink>
    </w:p>
    <w:p w14:paraId="1DC618FF" w14:textId="77777777" w:rsidR="006F342F" w:rsidRPr="007B7C5C" w:rsidRDefault="006F342F" w:rsidP="00E319EA">
      <w:pPr>
        <w:spacing w:line="276" w:lineRule="auto"/>
        <w:jc w:val="both"/>
        <w:rPr>
          <w:rFonts w:ascii="Cambria" w:hAnsi="Cambria" w:cs="Calibri"/>
          <w:iCs/>
          <w:color w:val="auto"/>
          <w:spacing w:val="-2"/>
          <w:sz w:val="21"/>
          <w:szCs w:val="21"/>
        </w:rPr>
      </w:pPr>
    </w:p>
    <w:p w14:paraId="17BC34E6" w14:textId="77777777" w:rsidR="0065044E" w:rsidRPr="007B7C5C" w:rsidRDefault="0065044E" w:rsidP="00E319EA">
      <w:pPr>
        <w:spacing w:line="276" w:lineRule="auto"/>
        <w:jc w:val="both"/>
        <w:rPr>
          <w:rFonts w:ascii="Cambria" w:hAnsi="Cambria" w:cs="Calibri"/>
          <w:iCs/>
          <w:color w:val="auto"/>
          <w:spacing w:val="-2"/>
          <w:sz w:val="21"/>
          <w:szCs w:val="21"/>
        </w:rPr>
      </w:pPr>
    </w:p>
    <w:p w14:paraId="5C3CFD44" w14:textId="77777777" w:rsidR="0065044E" w:rsidRPr="007B7C5C" w:rsidRDefault="0065044E" w:rsidP="00E319EA">
      <w:pPr>
        <w:spacing w:line="276" w:lineRule="auto"/>
        <w:jc w:val="both"/>
        <w:rPr>
          <w:rFonts w:ascii="Cambria" w:hAnsi="Cambria" w:cs="Calibri"/>
          <w:iCs/>
          <w:color w:val="auto"/>
          <w:spacing w:val="-2"/>
          <w:sz w:val="21"/>
          <w:szCs w:val="21"/>
        </w:rPr>
      </w:pPr>
    </w:p>
    <w:p w14:paraId="14F78A9B" w14:textId="4F7C2505" w:rsidR="006F342F" w:rsidRPr="007B7C5C" w:rsidRDefault="006F342F" w:rsidP="00E319EA">
      <w:pPr>
        <w:jc w:val="both"/>
        <w:rPr>
          <w:rStyle w:val="Hipercze"/>
          <w:rFonts w:ascii="Cambria" w:hAnsi="Cambria" w:cs="Arial"/>
          <w:b/>
          <w:color w:val="000090"/>
          <w:sz w:val="21"/>
          <w:szCs w:val="21"/>
          <w:u w:val="none"/>
        </w:rPr>
      </w:pPr>
    </w:p>
    <w:p w14:paraId="778D21EA" w14:textId="77777777" w:rsidR="006F342F" w:rsidRPr="007B7C5C" w:rsidRDefault="006F342F" w:rsidP="00E319EA">
      <w:pPr>
        <w:jc w:val="both"/>
        <w:rPr>
          <w:rStyle w:val="Hipercze"/>
          <w:rFonts w:ascii="Cambria" w:hAnsi="Cambria"/>
          <w:sz w:val="21"/>
          <w:szCs w:val="21"/>
        </w:rPr>
      </w:pPr>
    </w:p>
    <w:p w14:paraId="40929628" w14:textId="56E08116" w:rsidR="00047E3C" w:rsidRPr="002B539C" w:rsidRDefault="006F342F" w:rsidP="00E319EA">
      <w:pPr>
        <w:jc w:val="both"/>
        <w:rPr>
          <w:rFonts w:ascii="Cambria" w:hAnsi="Cambria"/>
          <w:iCs/>
          <w:color w:val="auto"/>
          <w:spacing w:val="-2"/>
          <w:sz w:val="21"/>
          <w:szCs w:val="21"/>
        </w:rPr>
      </w:pPr>
      <w:r w:rsidRPr="007B7C5C">
        <w:rPr>
          <w:rFonts w:ascii="Cambria" w:hAnsi="Cambria"/>
          <w:noProof/>
          <w:sz w:val="21"/>
          <w:szCs w:val="21"/>
        </w:rPr>
        <w:drawing>
          <wp:inline distT="0" distB="0" distL="0" distR="0" wp14:anchorId="207A1346" wp14:editId="5145C27F">
            <wp:extent cx="2369820" cy="601980"/>
            <wp:effectExtent l="0" t="0" r="0" b="7620"/>
            <wp:docPr id="1170994824" name="Obraz 4" descr="Obraz zawierający Grafika, zrzut ekranu, projekt graficzny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994824" name="Obraz 4" descr="Obraz zawierający Grafika, zrzut ekranu, projekt graficzny, Czcion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7E3C" w:rsidRPr="002B539C" w:rsidSect="006F342F">
      <w:headerReference w:type="default" r:id="rId11"/>
      <w:footerReference w:type="default" r:id="rId12"/>
      <w:pgSz w:w="11906" w:h="16838"/>
      <w:pgMar w:top="1843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503B" w14:textId="77777777" w:rsidR="002A3B05" w:rsidRDefault="002A3B05">
      <w:r>
        <w:separator/>
      </w:r>
    </w:p>
  </w:endnote>
  <w:endnote w:type="continuationSeparator" w:id="0">
    <w:p w14:paraId="28D6E850" w14:textId="77777777" w:rsidR="002A3B05" w:rsidRDefault="002A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18"/>
        <w:szCs w:val="18"/>
      </w:rPr>
      <w:id w:val="-50545918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/>
            <w:sz w:val="18"/>
            <w:szCs w:val="18"/>
          </w:rPr>
          <w:id w:val="-1329895559"/>
          <w:docPartObj>
            <w:docPartGallery w:val="Page Numbers (Top of Page)"/>
            <w:docPartUnique/>
          </w:docPartObj>
        </w:sdtPr>
        <w:sdtContent>
          <w:p w14:paraId="02FBD410" w14:textId="77777777" w:rsidR="006F342F" w:rsidRPr="001A0714" w:rsidRDefault="006F342F">
            <w:pPr>
              <w:pStyle w:val="Stopka"/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1A0714">
              <w:rPr>
                <w:rFonts w:asciiTheme="majorHAnsi" w:hAnsiTheme="majorHAnsi"/>
                <w:noProof/>
                <w:sz w:val="18"/>
                <w:szCs w:val="18"/>
              </w:rPr>
              <w:drawing>
                <wp:anchor distT="0" distB="0" distL="114300" distR="114300" simplePos="0" relativeHeight="251657216" behindDoc="0" locked="0" layoutInCell="1" allowOverlap="1" wp14:anchorId="1B45800B" wp14:editId="544DF139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-178435</wp:posOffset>
                  </wp:positionV>
                  <wp:extent cx="5732145" cy="748030"/>
                  <wp:effectExtent l="0" t="0" r="0" b="0"/>
                  <wp:wrapNone/>
                  <wp:docPr id="10" name="Obraz 10" descr="D:\Dokumenty KPF\GRAFIKA\_ZPF_Identyfikacja wizualna\ZPF_DOKUMENTY\ZPF_stopka-bez-eur-25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kumenty KPF\GRAFIKA\_ZPF_Identyfikacja wizualna\ZPF_DOKUMENTY\ZPF_stopka-bez-eur-25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" t="-3" r="30226" b="3160"/>
                          <a:stretch/>
                        </pic:blipFill>
                        <pic:spPr bwMode="auto">
                          <a:xfrm>
                            <a:off x="0" y="0"/>
                            <a:ext cx="5732145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0714">
              <w:rPr>
                <w:rFonts w:asciiTheme="majorHAnsi" w:hAnsiTheme="majorHAnsi"/>
                <w:sz w:val="18"/>
                <w:szCs w:val="18"/>
              </w:rPr>
              <w:t xml:space="preserve">Strona 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 w:rsidRPr="001A0714">
              <w:rPr>
                <w:rFonts w:asciiTheme="majorHAnsi" w:hAnsiTheme="majorHAnsi"/>
                <w:sz w:val="18"/>
                <w:szCs w:val="18"/>
              </w:rPr>
              <w:instrText>PAGE</w:instrTex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A0714">
              <w:rPr>
                <w:rFonts w:asciiTheme="majorHAnsi" w:hAnsiTheme="majorHAnsi"/>
                <w:sz w:val="18"/>
                <w:szCs w:val="18"/>
              </w:rPr>
              <w:t>3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1A0714">
              <w:rPr>
                <w:rFonts w:asciiTheme="majorHAnsi" w:hAnsiTheme="majorHAnsi"/>
                <w:sz w:val="18"/>
                <w:szCs w:val="18"/>
              </w:rPr>
              <w:t xml:space="preserve"> z 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 w:rsidRPr="001A0714">
              <w:rPr>
                <w:rFonts w:asciiTheme="majorHAnsi" w:hAnsiTheme="majorHAnsi"/>
                <w:sz w:val="18"/>
                <w:szCs w:val="18"/>
              </w:rPr>
              <w:instrText>NUMPAGES</w:instrTex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A0714">
              <w:rPr>
                <w:rFonts w:asciiTheme="majorHAnsi" w:hAnsiTheme="majorHAnsi"/>
                <w:sz w:val="18"/>
                <w:szCs w:val="18"/>
              </w:rPr>
              <w:t>3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7E74D" w14:textId="77777777" w:rsidR="002A3B05" w:rsidRDefault="002A3B05">
      <w:r>
        <w:separator/>
      </w:r>
    </w:p>
  </w:footnote>
  <w:footnote w:type="continuationSeparator" w:id="0">
    <w:p w14:paraId="2661E24B" w14:textId="77777777" w:rsidR="002A3B05" w:rsidRDefault="002A3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9BAF" w14:textId="77777777" w:rsidR="006F342F" w:rsidRPr="001A0714" w:rsidRDefault="006F342F">
    <w:pPr>
      <w:pStyle w:val="Nagwek"/>
    </w:pPr>
    <w:r w:rsidRPr="001A0714">
      <w:rPr>
        <w:rFonts w:asciiTheme="minorHAnsi" w:hAnsiTheme="minorHAnsi"/>
        <w:noProof/>
        <w:color w:val="1C2442"/>
      </w:rPr>
      <w:drawing>
        <wp:inline distT="0" distB="0" distL="0" distR="0" wp14:anchorId="69AEBC12" wp14:editId="6F71FCCA">
          <wp:extent cx="1963973" cy="461729"/>
          <wp:effectExtent l="0" t="0" r="0" b="0"/>
          <wp:docPr id="9" name="Obraz 9" descr="D:\Dokumenty KPF\GRAFIKA\_ZPF_Identyfikacja wizualna\logo-zpf-wmf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kumenty KPF\GRAFIKA\_ZPF_Identyfikacja wizualna\logo-zpf-wmf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095" cy="463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72"/>
    <w:rsid w:val="00002253"/>
    <w:rsid w:val="00021A13"/>
    <w:rsid w:val="00046861"/>
    <w:rsid w:val="00046F8D"/>
    <w:rsid w:val="00047E3C"/>
    <w:rsid w:val="000525F3"/>
    <w:rsid w:val="00053F32"/>
    <w:rsid w:val="000559DB"/>
    <w:rsid w:val="0006407B"/>
    <w:rsid w:val="00071F3A"/>
    <w:rsid w:val="00075F07"/>
    <w:rsid w:val="00077387"/>
    <w:rsid w:val="00087B2C"/>
    <w:rsid w:val="00091189"/>
    <w:rsid w:val="00097782"/>
    <w:rsid w:val="000A2B7B"/>
    <w:rsid w:val="000C3DB7"/>
    <w:rsid w:val="000D19B0"/>
    <w:rsid w:val="000E16B3"/>
    <w:rsid w:val="000E1C75"/>
    <w:rsid w:val="000E25F4"/>
    <w:rsid w:val="000E4C5A"/>
    <w:rsid w:val="000E7CAC"/>
    <w:rsid w:val="0010471C"/>
    <w:rsid w:val="00114AAE"/>
    <w:rsid w:val="0012371C"/>
    <w:rsid w:val="00133DB5"/>
    <w:rsid w:val="00166576"/>
    <w:rsid w:val="001A22CE"/>
    <w:rsid w:val="001A7A1E"/>
    <w:rsid w:val="001C419C"/>
    <w:rsid w:val="001C6A99"/>
    <w:rsid w:val="001D1F6F"/>
    <w:rsid w:val="001E0126"/>
    <w:rsid w:val="001E471E"/>
    <w:rsid w:val="001F3129"/>
    <w:rsid w:val="00202A6A"/>
    <w:rsid w:val="00211021"/>
    <w:rsid w:val="00222BCB"/>
    <w:rsid w:val="00223566"/>
    <w:rsid w:val="0023576F"/>
    <w:rsid w:val="002601C1"/>
    <w:rsid w:val="0026439C"/>
    <w:rsid w:val="00273539"/>
    <w:rsid w:val="00273D81"/>
    <w:rsid w:val="002742A9"/>
    <w:rsid w:val="002754A4"/>
    <w:rsid w:val="002757E2"/>
    <w:rsid w:val="00277308"/>
    <w:rsid w:val="00283FCF"/>
    <w:rsid w:val="00284282"/>
    <w:rsid w:val="00287850"/>
    <w:rsid w:val="00290404"/>
    <w:rsid w:val="00293826"/>
    <w:rsid w:val="002979D1"/>
    <w:rsid w:val="002A3B05"/>
    <w:rsid w:val="002A45E3"/>
    <w:rsid w:val="002B3C65"/>
    <w:rsid w:val="002B4CE2"/>
    <w:rsid w:val="002B539C"/>
    <w:rsid w:val="002B7A4C"/>
    <w:rsid w:val="002C6DB1"/>
    <w:rsid w:val="002D2BCF"/>
    <w:rsid w:val="002E163F"/>
    <w:rsid w:val="002E300B"/>
    <w:rsid w:val="002E4BF7"/>
    <w:rsid w:val="003106CA"/>
    <w:rsid w:val="00317C37"/>
    <w:rsid w:val="00331404"/>
    <w:rsid w:val="00333178"/>
    <w:rsid w:val="0034516A"/>
    <w:rsid w:val="00345891"/>
    <w:rsid w:val="00345D23"/>
    <w:rsid w:val="0035082B"/>
    <w:rsid w:val="00354151"/>
    <w:rsid w:val="00366864"/>
    <w:rsid w:val="00373AB7"/>
    <w:rsid w:val="00380DFD"/>
    <w:rsid w:val="003833A9"/>
    <w:rsid w:val="0039407C"/>
    <w:rsid w:val="003B18C4"/>
    <w:rsid w:val="003B6BFD"/>
    <w:rsid w:val="003C600B"/>
    <w:rsid w:val="003C6F8F"/>
    <w:rsid w:val="003D37D9"/>
    <w:rsid w:val="00402837"/>
    <w:rsid w:val="00403C68"/>
    <w:rsid w:val="00417BA6"/>
    <w:rsid w:val="00421374"/>
    <w:rsid w:val="00430273"/>
    <w:rsid w:val="00432028"/>
    <w:rsid w:val="00442436"/>
    <w:rsid w:val="0047698C"/>
    <w:rsid w:val="00482E07"/>
    <w:rsid w:val="00494BC3"/>
    <w:rsid w:val="004A0D1A"/>
    <w:rsid w:val="004B2551"/>
    <w:rsid w:val="004C65E9"/>
    <w:rsid w:val="004D21D2"/>
    <w:rsid w:val="004D6BB2"/>
    <w:rsid w:val="004E1153"/>
    <w:rsid w:val="004E3305"/>
    <w:rsid w:val="004E4320"/>
    <w:rsid w:val="004E5551"/>
    <w:rsid w:val="004F29DC"/>
    <w:rsid w:val="004F5DF3"/>
    <w:rsid w:val="00503F41"/>
    <w:rsid w:val="00513C7F"/>
    <w:rsid w:val="0051584F"/>
    <w:rsid w:val="00516A99"/>
    <w:rsid w:val="00524787"/>
    <w:rsid w:val="0055151D"/>
    <w:rsid w:val="00573C45"/>
    <w:rsid w:val="00582A18"/>
    <w:rsid w:val="0059099C"/>
    <w:rsid w:val="00594F25"/>
    <w:rsid w:val="005958A0"/>
    <w:rsid w:val="005B706F"/>
    <w:rsid w:val="005E75D0"/>
    <w:rsid w:val="0060096A"/>
    <w:rsid w:val="006026DC"/>
    <w:rsid w:val="00621466"/>
    <w:rsid w:val="006215EA"/>
    <w:rsid w:val="006216BA"/>
    <w:rsid w:val="0064104D"/>
    <w:rsid w:val="00641109"/>
    <w:rsid w:val="00642D09"/>
    <w:rsid w:val="0065044E"/>
    <w:rsid w:val="00653584"/>
    <w:rsid w:val="0066746D"/>
    <w:rsid w:val="006708BD"/>
    <w:rsid w:val="0067127E"/>
    <w:rsid w:val="00673D1C"/>
    <w:rsid w:val="00674383"/>
    <w:rsid w:val="00684210"/>
    <w:rsid w:val="00692840"/>
    <w:rsid w:val="006A5FE6"/>
    <w:rsid w:val="006C7409"/>
    <w:rsid w:val="006F342F"/>
    <w:rsid w:val="00712641"/>
    <w:rsid w:val="007132F2"/>
    <w:rsid w:val="00714EBB"/>
    <w:rsid w:val="00726FC7"/>
    <w:rsid w:val="007278FF"/>
    <w:rsid w:val="00735AB0"/>
    <w:rsid w:val="00740778"/>
    <w:rsid w:val="007456CE"/>
    <w:rsid w:val="0074589F"/>
    <w:rsid w:val="007712B5"/>
    <w:rsid w:val="00777671"/>
    <w:rsid w:val="007839D8"/>
    <w:rsid w:val="00786875"/>
    <w:rsid w:val="00790EE9"/>
    <w:rsid w:val="00793AE3"/>
    <w:rsid w:val="00795DA0"/>
    <w:rsid w:val="00795E50"/>
    <w:rsid w:val="007A2912"/>
    <w:rsid w:val="007B7C5C"/>
    <w:rsid w:val="007C4559"/>
    <w:rsid w:val="007D7BF1"/>
    <w:rsid w:val="008035D2"/>
    <w:rsid w:val="00822E55"/>
    <w:rsid w:val="00823614"/>
    <w:rsid w:val="00836B87"/>
    <w:rsid w:val="008467E6"/>
    <w:rsid w:val="008468BE"/>
    <w:rsid w:val="008516F3"/>
    <w:rsid w:val="00862BCC"/>
    <w:rsid w:val="0087078E"/>
    <w:rsid w:val="00872BBF"/>
    <w:rsid w:val="00876647"/>
    <w:rsid w:val="00886E46"/>
    <w:rsid w:val="00893FAB"/>
    <w:rsid w:val="0089694A"/>
    <w:rsid w:val="008A1572"/>
    <w:rsid w:val="008D06D3"/>
    <w:rsid w:val="008D0DEF"/>
    <w:rsid w:val="008D5BBD"/>
    <w:rsid w:val="008D72B8"/>
    <w:rsid w:val="008E0851"/>
    <w:rsid w:val="008F2115"/>
    <w:rsid w:val="009115F8"/>
    <w:rsid w:val="00914D6A"/>
    <w:rsid w:val="00925D8F"/>
    <w:rsid w:val="00927DDA"/>
    <w:rsid w:val="0093375F"/>
    <w:rsid w:val="00940B47"/>
    <w:rsid w:val="009450BC"/>
    <w:rsid w:val="0097020C"/>
    <w:rsid w:val="009A089B"/>
    <w:rsid w:val="009A3330"/>
    <w:rsid w:val="009A5DF1"/>
    <w:rsid w:val="009A6DCF"/>
    <w:rsid w:val="009B082A"/>
    <w:rsid w:val="009B7871"/>
    <w:rsid w:val="009C4D8B"/>
    <w:rsid w:val="009C511E"/>
    <w:rsid w:val="009C5C23"/>
    <w:rsid w:val="009C650C"/>
    <w:rsid w:val="009D3028"/>
    <w:rsid w:val="009E2F6A"/>
    <w:rsid w:val="009E3209"/>
    <w:rsid w:val="009E78BF"/>
    <w:rsid w:val="009F1B89"/>
    <w:rsid w:val="009F1CD9"/>
    <w:rsid w:val="00A1051E"/>
    <w:rsid w:val="00A15A47"/>
    <w:rsid w:val="00A40927"/>
    <w:rsid w:val="00A424BC"/>
    <w:rsid w:val="00A533BE"/>
    <w:rsid w:val="00A55087"/>
    <w:rsid w:val="00A71DF3"/>
    <w:rsid w:val="00A80EE7"/>
    <w:rsid w:val="00A82BF2"/>
    <w:rsid w:val="00AC5271"/>
    <w:rsid w:val="00AC572E"/>
    <w:rsid w:val="00AC5F51"/>
    <w:rsid w:val="00AC72EC"/>
    <w:rsid w:val="00AD2BF7"/>
    <w:rsid w:val="00AD49DB"/>
    <w:rsid w:val="00AE1381"/>
    <w:rsid w:val="00AF6457"/>
    <w:rsid w:val="00B05512"/>
    <w:rsid w:val="00B11D70"/>
    <w:rsid w:val="00B11EA9"/>
    <w:rsid w:val="00B12BF3"/>
    <w:rsid w:val="00B2052B"/>
    <w:rsid w:val="00B31DA5"/>
    <w:rsid w:val="00B5181D"/>
    <w:rsid w:val="00B81DA2"/>
    <w:rsid w:val="00BA155D"/>
    <w:rsid w:val="00BA234A"/>
    <w:rsid w:val="00BA56BF"/>
    <w:rsid w:val="00BB332F"/>
    <w:rsid w:val="00BC3576"/>
    <w:rsid w:val="00BD0AA3"/>
    <w:rsid w:val="00BE07D4"/>
    <w:rsid w:val="00BE0E0C"/>
    <w:rsid w:val="00BF1923"/>
    <w:rsid w:val="00BF534E"/>
    <w:rsid w:val="00BF6788"/>
    <w:rsid w:val="00BF7182"/>
    <w:rsid w:val="00C037B4"/>
    <w:rsid w:val="00C07617"/>
    <w:rsid w:val="00C17E23"/>
    <w:rsid w:val="00C37831"/>
    <w:rsid w:val="00C51CD2"/>
    <w:rsid w:val="00C52D81"/>
    <w:rsid w:val="00C53807"/>
    <w:rsid w:val="00C76AA3"/>
    <w:rsid w:val="00C814FB"/>
    <w:rsid w:val="00C85A3F"/>
    <w:rsid w:val="00C90068"/>
    <w:rsid w:val="00C95822"/>
    <w:rsid w:val="00CA2898"/>
    <w:rsid w:val="00CA2B8E"/>
    <w:rsid w:val="00CB16E8"/>
    <w:rsid w:val="00CB62A6"/>
    <w:rsid w:val="00CC207D"/>
    <w:rsid w:val="00CC7972"/>
    <w:rsid w:val="00CD5274"/>
    <w:rsid w:val="00CE2B0F"/>
    <w:rsid w:val="00CF1903"/>
    <w:rsid w:val="00CF27FA"/>
    <w:rsid w:val="00D12561"/>
    <w:rsid w:val="00D175EB"/>
    <w:rsid w:val="00D21355"/>
    <w:rsid w:val="00D21408"/>
    <w:rsid w:val="00D21A8A"/>
    <w:rsid w:val="00D25E2F"/>
    <w:rsid w:val="00D4749F"/>
    <w:rsid w:val="00D52C85"/>
    <w:rsid w:val="00D85409"/>
    <w:rsid w:val="00D87ABB"/>
    <w:rsid w:val="00D91C5A"/>
    <w:rsid w:val="00DA19B3"/>
    <w:rsid w:val="00DA4E36"/>
    <w:rsid w:val="00DB2915"/>
    <w:rsid w:val="00DB7AF6"/>
    <w:rsid w:val="00DD4014"/>
    <w:rsid w:val="00DD4922"/>
    <w:rsid w:val="00DE172B"/>
    <w:rsid w:val="00DE19F4"/>
    <w:rsid w:val="00DF2F24"/>
    <w:rsid w:val="00E0223A"/>
    <w:rsid w:val="00E1770D"/>
    <w:rsid w:val="00E20C5B"/>
    <w:rsid w:val="00E20D8C"/>
    <w:rsid w:val="00E319EA"/>
    <w:rsid w:val="00E32EF3"/>
    <w:rsid w:val="00E62784"/>
    <w:rsid w:val="00E85552"/>
    <w:rsid w:val="00E87E98"/>
    <w:rsid w:val="00EB3176"/>
    <w:rsid w:val="00EB5A8F"/>
    <w:rsid w:val="00EC65D3"/>
    <w:rsid w:val="00EC6A52"/>
    <w:rsid w:val="00EC77FD"/>
    <w:rsid w:val="00ED2ACD"/>
    <w:rsid w:val="00ED4AEF"/>
    <w:rsid w:val="00ED586C"/>
    <w:rsid w:val="00F070F9"/>
    <w:rsid w:val="00F077A0"/>
    <w:rsid w:val="00F15DF2"/>
    <w:rsid w:val="00F17973"/>
    <w:rsid w:val="00F26DD7"/>
    <w:rsid w:val="00F32614"/>
    <w:rsid w:val="00F34637"/>
    <w:rsid w:val="00F57D18"/>
    <w:rsid w:val="00F76ECC"/>
    <w:rsid w:val="00FC4C41"/>
    <w:rsid w:val="00FC7941"/>
    <w:rsid w:val="00FD330D"/>
    <w:rsid w:val="00FD6C34"/>
    <w:rsid w:val="00FD79B1"/>
    <w:rsid w:val="00FE4448"/>
    <w:rsid w:val="00FE6BC4"/>
    <w:rsid w:val="00FF0704"/>
    <w:rsid w:val="00FF5D65"/>
    <w:rsid w:val="00FF60A6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5263"/>
  <w15:chartTrackingRefBased/>
  <w15:docId w15:val="{76A52E5D-0D3D-410C-9CF5-C6D1824A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42F"/>
    <w:pPr>
      <w:spacing w:after="0" w:line="240" w:lineRule="auto"/>
    </w:pPr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79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9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9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9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9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9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9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9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9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9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9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9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9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9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9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797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C7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9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C7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797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C79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797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C79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9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797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6F34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342F"/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6F34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342F"/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semiHidden/>
    <w:rsid w:val="006F342F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E319EA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36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361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3614"/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36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3614"/>
    <w:rPr>
      <w:rFonts w:ascii="Trebuchet MS" w:eastAsia="Times New Roman" w:hAnsi="Trebuchet MS" w:cs="Arial"/>
      <w:b/>
      <w:bCs/>
      <w:color w:val="000000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223566"/>
    <w:pPr>
      <w:spacing w:after="0" w:line="240" w:lineRule="auto"/>
    </w:pPr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91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6A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6A52"/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6A52"/>
    <w:rPr>
      <w:vertAlign w:val="superscript"/>
    </w:rPr>
  </w:style>
  <w:style w:type="table" w:styleId="Tabela-Siatka">
    <w:name w:val="Table Grid"/>
    <w:basedOn w:val="Standardowy"/>
    <w:rsid w:val="007A29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company/zpf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3A51-9BDB-44B8-A38A-5E7AFED6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837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Links>
    <vt:vector size="12" baseType="variant">
      <vt:variant>
        <vt:i4>6619194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http://www.linkedin.com/company/zpf</vt:lpwstr>
      </vt:variant>
      <vt:variant>
        <vt:lpwstr/>
      </vt:variant>
      <vt:variant>
        <vt:i4>8257649</vt:i4>
      </vt:variant>
      <vt:variant>
        <vt:i4>0</vt:i4>
      </vt:variant>
      <vt:variant>
        <vt:i4>0</vt:i4>
      </vt:variant>
      <vt:variant>
        <vt:i4>5</vt:i4>
      </vt:variant>
      <vt:variant>
        <vt:lpwstr>https://zpf.pl/sytuacja-na-rynku-consumer-finance/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Frąckowiak</dc:creator>
  <cp:keywords/>
  <dc:description/>
  <cp:lastModifiedBy>Agnieszka Frąckowiak</cp:lastModifiedBy>
  <cp:revision>3</cp:revision>
  <cp:lastPrinted>2026-06-15T08:40:00Z</cp:lastPrinted>
  <dcterms:created xsi:type="dcterms:W3CDTF">2026-09-25T07:12:00Z</dcterms:created>
  <dcterms:modified xsi:type="dcterms:W3CDTF">2026-09-25T07:15:00Z</dcterms:modified>
</cp:coreProperties>
</file>