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4C743E" w14:textId="05E512FB" w:rsidR="00D24642" w:rsidRPr="00054831" w:rsidRDefault="00D24642" w:rsidP="0018770E">
      <w:pPr>
        <w:jc w:val="right"/>
        <w:rPr>
          <w:bCs/>
          <w:color w:val="002060"/>
          <w:sz w:val="24"/>
          <w:szCs w:val="24"/>
        </w:rPr>
      </w:pP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BE55F3">
        <w:rPr>
          <w:b/>
          <w:color w:val="171717" w:themeColor="background2" w:themeShade="1A"/>
        </w:rPr>
        <w:tab/>
      </w:r>
      <w:r w:rsidRPr="00054831">
        <w:rPr>
          <w:bCs/>
          <w:color w:val="002060"/>
          <w:sz w:val="24"/>
          <w:szCs w:val="24"/>
        </w:rPr>
        <w:t xml:space="preserve">Gdańsk, </w:t>
      </w:r>
      <w:r w:rsidR="00734051">
        <w:rPr>
          <w:bCs/>
          <w:color w:val="002060"/>
          <w:sz w:val="24"/>
          <w:szCs w:val="24"/>
        </w:rPr>
        <w:t>8</w:t>
      </w:r>
      <w:r w:rsidRPr="00054831">
        <w:rPr>
          <w:bCs/>
          <w:color w:val="002060"/>
          <w:sz w:val="24"/>
          <w:szCs w:val="24"/>
        </w:rPr>
        <w:t>.</w:t>
      </w:r>
      <w:r w:rsidR="00F62098">
        <w:rPr>
          <w:bCs/>
          <w:color w:val="002060"/>
          <w:sz w:val="24"/>
          <w:szCs w:val="24"/>
        </w:rPr>
        <w:t>10</w:t>
      </w:r>
      <w:r w:rsidRPr="00054831">
        <w:rPr>
          <w:bCs/>
          <w:color w:val="002060"/>
          <w:sz w:val="24"/>
          <w:szCs w:val="24"/>
        </w:rPr>
        <w:t>.20</w:t>
      </w:r>
      <w:r w:rsidR="00F92323" w:rsidRPr="00054831">
        <w:rPr>
          <w:bCs/>
          <w:color w:val="002060"/>
          <w:sz w:val="24"/>
          <w:szCs w:val="24"/>
        </w:rPr>
        <w:t>2</w:t>
      </w:r>
      <w:r w:rsidR="00EE6AB9" w:rsidRPr="00054831">
        <w:rPr>
          <w:bCs/>
          <w:color w:val="002060"/>
          <w:sz w:val="24"/>
          <w:szCs w:val="24"/>
        </w:rPr>
        <w:t>6</w:t>
      </w:r>
    </w:p>
    <w:p w14:paraId="0414345C" w14:textId="77777777" w:rsidR="004147EA" w:rsidRPr="00101D1C" w:rsidRDefault="004147EA" w:rsidP="00D24642">
      <w:pPr>
        <w:jc w:val="both"/>
        <w:rPr>
          <w:color w:val="002060"/>
          <w:sz w:val="24"/>
        </w:rPr>
      </w:pPr>
    </w:p>
    <w:p w14:paraId="4E209616" w14:textId="5D2B8986" w:rsidR="00C93A0D" w:rsidRDefault="00790E33" w:rsidP="0018770E">
      <w:pPr>
        <w:jc w:val="both"/>
        <w:rPr>
          <w:color w:val="002060"/>
          <w:sz w:val="24"/>
          <w:u w:val="single"/>
        </w:rPr>
      </w:pPr>
      <w:r w:rsidRPr="00101D1C">
        <w:rPr>
          <w:color w:val="002060"/>
          <w:sz w:val="24"/>
          <w:u w:val="single"/>
        </w:rPr>
        <w:t>Informacja prasowa</w:t>
      </w:r>
      <w:r w:rsidR="00EE6AB9" w:rsidRPr="00101D1C">
        <w:rPr>
          <w:color w:val="002060"/>
          <w:sz w:val="24"/>
          <w:u w:val="single"/>
        </w:rPr>
        <w:t>:</w:t>
      </w:r>
    </w:p>
    <w:p w14:paraId="6B74CE10" w14:textId="77777777" w:rsidR="0018770E" w:rsidRPr="0018770E" w:rsidRDefault="0018770E" w:rsidP="0018770E">
      <w:pPr>
        <w:jc w:val="both"/>
        <w:rPr>
          <w:color w:val="002060"/>
          <w:sz w:val="24"/>
          <w:u w:val="single"/>
        </w:rPr>
      </w:pPr>
    </w:p>
    <w:p w14:paraId="59862E66" w14:textId="7B687488" w:rsidR="00D76D34" w:rsidRDefault="00306302" w:rsidP="00306302">
      <w:pPr>
        <w:pStyle w:val="NormalnyWeb"/>
        <w:jc w:val="center"/>
        <w:rPr>
          <w:rFonts w:ascii="Calibri" w:hAnsi="Calibri" w:cs="Calibri"/>
          <w:b/>
          <w:bCs/>
          <w:color w:val="002060"/>
        </w:rPr>
      </w:pPr>
      <w:r>
        <w:rPr>
          <w:rFonts w:ascii="Calibri" w:hAnsi="Calibri" w:cs="Calibri"/>
          <w:b/>
          <w:bCs/>
          <w:color w:val="002060"/>
          <w:sz w:val="26"/>
          <w:szCs w:val="26"/>
        </w:rPr>
        <w:t>Sznurem n</w:t>
      </w:r>
      <w:r w:rsidRPr="00306302">
        <w:rPr>
          <w:rFonts w:ascii="Calibri" w:hAnsi="Calibri" w:cs="Calibri"/>
          <w:b/>
          <w:bCs/>
          <w:color w:val="002060"/>
          <w:sz w:val="26"/>
          <w:szCs w:val="26"/>
        </w:rPr>
        <w:t>ie tylko za mundurem. Kandydaci coraz chętniej wybierają studia i pracę związaną z obronnością</w:t>
      </w:r>
    </w:p>
    <w:p w14:paraId="7F150278" w14:textId="77EAC89C" w:rsidR="00BD23EA" w:rsidRDefault="00BD23EA" w:rsidP="0018770E">
      <w:pPr>
        <w:pStyle w:val="NormalnyWeb"/>
        <w:jc w:val="both"/>
        <w:rPr>
          <w:rFonts w:ascii="Calibri" w:hAnsi="Calibri" w:cs="Calibri"/>
          <w:b/>
          <w:bCs/>
          <w:color w:val="002060"/>
        </w:rPr>
      </w:pPr>
      <w:r w:rsidRPr="00F67A48">
        <w:rPr>
          <w:rFonts w:ascii="Calibri" w:hAnsi="Calibri" w:cs="Calibri"/>
          <w:b/>
          <w:bCs/>
          <w:color w:val="002060"/>
        </w:rPr>
        <w:t>Pieniądze, firmy i ludzie</w:t>
      </w:r>
      <w:r>
        <w:rPr>
          <w:rFonts w:ascii="Calibri" w:hAnsi="Calibri" w:cs="Calibri"/>
          <w:b/>
          <w:bCs/>
          <w:color w:val="002060"/>
        </w:rPr>
        <w:t>.</w:t>
      </w:r>
      <w:r w:rsidRPr="00F67A48">
        <w:rPr>
          <w:rFonts w:ascii="Calibri" w:hAnsi="Calibri" w:cs="Calibri"/>
          <w:b/>
          <w:bCs/>
          <w:color w:val="002060"/>
        </w:rPr>
        <w:t xml:space="preserve"> </w:t>
      </w:r>
      <w:r>
        <w:rPr>
          <w:rFonts w:ascii="Calibri" w:hAnsi="Calibri" w:cs="Calibri"/>
          <w:b/>
          <w:bCs/>
          <w:color w:val="002060"/>
        </w:rPr>
        <w:t>P</w:t>
      </w:r>
      <w:r w:rsidRPr="00F67A48">
        <w:rPr>
          <w:rFonts w:ascii="Calibri" w:hAnsi="Calibri" w:cs="Calibri"/>
          <w:b/>
          <w:bCs/>
          <w:color w:val="002060"/>
        </w:rPr>
        <w:t xml:space="preserve">olski sektor obronny rośnie na wszystkich tych poziomach, a wraz z nim zapotrzebowanie na </w:t>
      </w:r>
      <w:r w:rsidRPr="00BD23EA">
        <w:rPr>
          <w:rFonts w:ascii="Calibri" w:hAnsi="Calibri" w:cs="Calibri"/>
          <w:b/>
          <w:bCs/>
          <w:color w:val="002060"/>
        </w:rPr>
        <w:t xml:space="preserve">pracowników. W 2027 r. na obronność nasze państwo przeznaczy 198,1 mld zł. Rosnące znaczenie sektora widać także </w:t>
      </w:r>
      <w:r w:rsidR="003F3027">
        <w:rPr>
          <w:rFonts w:ascii="Calibri" w:hAnsi="Calibri" w:cs="Calibri"/>
          <w:b/>
          <w:bCs/>
          <w:color w:val="002060"/>
        </w:rPr>
        <w:t xml:space="preserve">na uczelniach wojskowych, które w tym roku odnotowały rekordową liczbę kandydatów na studia. </w:t>
      </w:r>
      <w:r w:rsidRPr="00F67A48">
        <w:rPr>
          <w:rFonts w:ascii="Calibri" w:hAnsi="Calibri" w:cs="Calibri"/>
          <w:b/>
          <w:bCs/>
          <w:color w:val="002060"/>
        </w:rPr>
        <w:t>To część szerszego europejskiego trendu</w:t>
      </w:r>
      <w:r w:rsidR="003F3027">
        <w:rPr>
          <w:rFonts w:ascii="Calibri" w:hAnsi="Calibri" w:cs="Calibri"/>
          <w:b/>
          <w:bCs/>
          <w:color w:val="002060"/>
        </w:rPr>
        <w:t>. W</w:t>
      </w:r>
      <w:r w:rsidRPr="00F67A48">
        <w:rPr>
          <w:rFonts w:ascii="Calibri" w:hAnsi="Calibri" w:cs="Calibri"/>
          <w:b/>
          <w:bCs/>
          <w:color w:val="002060"/>
        </w:rPr>
        <w:t xml:space="preserve">edług </w:t>
      </w:r>
      <w:r>
        <w:rPr>
          <w:rFonts w:ascii="Calibri" w:hAnsi="Calibri" w:cs="Calibri"/>
          <w:b/>
          <w:bCs/>
          <w:color w:val="002060"/>
        </w:rPr>
        <w:t xml:space="preserve">danych </w:t>
      </w:r>
      <w:proofErr w:type="spellStart"/>
      <w:r w:rsidRPr="00F67A48">
        <w:rPr>
          <w:rFonts w:ascii="Calibri" w:hAnsi="Calibri" w:cs="Calibri"/>
          <w:b/>
          <w:bCs/>
          <w:color w:val="002060"/>
        </w:rPr>
        <w:t>Indeed</w:t>
      </w:r>
      <w:proofErr w:type="spellEnd"/>
      <w:r w:rsidRPr="00F67A48">
        <w:rPr>
          <w:rFonts w:ascii="Calibri" w:hAnsi="Calibri" w:cs="Calibri"/>
          <w:b/>
          <w:bCs/>
          <w:color w:val="002060"/>
        </w:rPr>
        <w:t xml:space="preserve"> </w:t>
      </w:r>
      <w:proofErr w:type="spellStart"/>
      <w:r w:rsidRPr="00F67A48">
        <w:rPr>
          <w:rFonts w:ascii="Calibri" w:hAnsi="Calibri" w:cs="Calibri"/>
          <w:b/>
          <w:bCs/>
          <w:color w:val="002060"/>
        </w:rPr>
        <w:t>Hiring</w:t>
      </w:r>
      <w:proofErr w:type="spellEnd"/>
      <w:r w:rsidRPr="00F67A48">
        <w:rPr>
          <w:rFonts w:ascii="Calibri" w:hAnsi="Calibri" w:cs="Calibri"/>
          <w:b/>
          <w:bCs/>
          <w:color w:val="002060"/>
        </w:rPr>
        <w:t xml:space="preserve"> Lab w kwietniu 2026 r. liczba ofert pracy publikowanych przez </w:t>
      </w:r>
      <w:r>
        <w:rPr>
          <w:rFonts w:ascii="Calibri" w:hAnsi="Calibri" w:cs="Calibri"/>
          <w:b/>
          <w:bCs/>
          <w:color w:val="002060"/>
        </w:rPr>
        <w:t>największe</w:t>
      </w:r>
      <w:r w:rsidRPr="00F67A48">
        <w:rPr>
          <w:rFonts w:ascii="Calibri" w:hAnsi="Calibri" w:cs="Calibri"/>
          <w:b/>
          <w:bCs/>
          <w:color w:val="002060"/>
        </w:rPr>
        <w:t xml:space="preserve"> firm</w:t>
      </w:r>
      <w:r>
        <w:rPr>
          <w:rFonts w:ascii="Calibri" w:hAnsi="Calibri" w:cs="Calibri"/>
          <w:b/>
          <w:bCs/>
          <w:color w:val="002060"/>
        </w:rPr>
        <w:t>y o</w:t>
      </w:r>
      <w:r w:rsidRPr="00F67A48">
        <w:rPr>
          <w:rFonts w:ascii="Calibri" w:hAnsi="Calibri" w:cs="Calibri"/>
          <w:b/>
          <w:bCs/>
          <w:color w:val="002060"/>
        </w:rPr>
        <w:t>bronn</w:t>
      </w:r>
      <w:r>
        <w:rPr>
          <w:rFonts w:ascii="Calibri" w:hAnsi="Calibri" w:cs="Calibri"/>
          <w:b/>
          <w:bCs/>
          <w:color w:val="002060"/>
        </w:rPr>
        <w:t>e</w:t>
      </w:r>
      <w:r w:rsidRPr="00F67A48">
        <w:rPr>
          <w:rFonts w:ascii="Calibri" w:hAnsi="Calibri" w:cs="Calibri"/>
          <w:b/>
          <w:bCs/>
          <w:color w:val="002060"/>
        </w:rPr>
        <w:t xml:space="preserve"> </w:t>
      </w:r>
      <w:r>
        <w:rPr>
          <w:rFonts w:ascii="Calibri" w:hAnsi="Calibri" w:cs="Calibri"/>
          <w:b/>
          <w:bCs/>
          <w:color w:val="002060"/>
        </w:rPr>
        <w:t xml:space="preserve">z Europy </w:t>
      </w:r>
      <w:r w:rsidRPr="00F67A48">
        <w:rPr>
          <w:rFonts w:ascii="Calibri" w:hAnsi="Calibri" w:cs="Calibri"/>
          <w:b/>
          <w:bCs/>
          <w:color w:val="002060"/>
        </w:rPr>
        <w:t xml:space="preserve">była o 65 proc. wyższa niż średnia z 2021 r. i o 14 proc. wyższa niż rok wcześniej. </w:t>
      </w:r>
      <w:r w:rsidR="003F3027">
        <w:rPr>
          <w:rFonts w:ascii="Calibri" w:hAnsi="Calibri" w:cs="Calibri"/>
          <w:b/>
          <w:bCs/>
          <w:color w:val="002060"/>
        </w:rPr>
        <w:t>Zwiększające się</w:t>
      </w:r>
      <w:r w:rsidRPr="00F67A48">
        <w:rPr>
          <w:rFonts w:ascii="Calibri" w:hAnsi="Calibri" w:cs="Calibri"/>
          <w:b/>
          <w:bCs/>
          <w:color w:val="002060"/>
        </w:rPr>
        <w:t xml:space="preserve"> </w:t>
      </w:r>
      <w:r w:rsidR="003F3027">
        <w:rPr>
          <w:rFonts w:ascii="Calibri" w:hAnsi="Calibri" w:cs="Calibri"/>
          <w:b/>
          <w:bCs/>
          <w:color w:val="002060"/>
        </w:rPr>
        <w:t>z</w:t>
      </w:r>
      <w:r w:rsidRPr="00F67A48">
        <w:rPr>
          <w:rFonts w:ascii="Calibri" w:hAnsi="Calibri" w:cs="Calibri"/>
          <w:b/>
          <w:bCs/>
          <w:color w:val="002060"/>
        </w:rPr>
        <w:t xml:space="preserve">apotrzebowanie </w:t>
      </w:r>
      <w:r w:rsidR="00306302">
        <w:rPr>
          <w:rFonts w:ascii="Calibri" w:hAnsi="Calibri" w:cs="Calibri"/>
          <w:b/>
          <w:bCs/>
          <w:color w:val="002060"/>
        </w:rPr>
        <w:t>odnotowuje też</w:t>
      </w:r>
      <w:r w:rsidRPr="00F67A48">
        <w:rPr>
          <w:rFonts w:ascii="Calibri" w:hAnsi="Calibri" w:cs="Calibri"/>
          <w:b/>
          <w:bCs/>
          <w:color w:val="002060"/>
        </w:rPr>
        <w:t xml:space="preserve"> polski ryn</w:t>
      </w:r>
      <w:r w:rsidR="00306302">
        <w:rPr>
          <w:rFonts w:ascii="Calibri" w:hAnsi="Calibri" w:cs="Calibri"/>
          <w:b/>
          <w:bCs/>
          <w:color w:val="002060"/>
        </w:rPr>
        <w:t>ek</w:t>
      </w:r>
      <w:r w:rsidRPr="00F67A48">
        <w:rPr>
          <w:rFonts w:ascii="Calibri" w:hAnsi="Calibri" w:cs="Calibri"/>
          <w:b/>
          <w:bCs/>
          <w:color w:val="002060"/>
        </w:rPr>
        <w:t>, gdzie sektor obronny konkuruje o pracowników m.in. z przemysłem, logistyką i IT – wynika z analiz Grupy Progres.</w:t>
      </w:r>
    </w:p>
    <w:p w14:paraId="353830EB" w14:textId="6946AE32" w:rsidR="003F3027" w:rsidRDefault="003F3027" w:rsidP="0018770E">
      <w:pPr>
        <w:pStyle w:val="NormalnyWeb"/>
        <w:jc w:val="both"/>
        <w:rPr>
          <w:rFonts w:ascii="Calibri" w:hAnsi="Calibri" w:cs="Calibri"/>
          <w:color w:val="002060"/>
        </w:rPr>
      </w:pPr>
      <w:r w:rsidRPr="00AC7411">
        <w:rPr>
          <w:rStyle w:val="Pogrubienie"/>
          <w:rFonts w:ascii="Calibri" w:hAnsi="Calibri" w:cs="Calibri"/>
          <w:b w:val="0"/>
          <w:bCs w:val="0"/>
          <w:color w:val="002060"/>
        </w:rPr>
        <w:t xml:space="preserve">Rosnąca skala </w:t>
      </w:r>
      <w:r>
        <w:rPr>
          <w:rStyle w:val="Pogrubienie"/>
          <w:rFonts w:ascii="Calibri" w:hAnsi="Calibri" w:cs="Calibri"/>
          <w:b w:val="0"/>
          <w:bCs w:val="0"/>
          <w:color w:val="002060"/>
        </w:rPr>
        <w:t xml:space="preserve">branży w naszym kraju </w:t>
      </w:r>
      <w:r w:rsidRPr="00AC7411">
        <w:rPr>
          <w:rStyle w:val="Pogrubienie"/>
          <w:rFonts w:ascii="Calibri" w:hAnsi="Calibri" w:cs="Calibri"/>
          <w:b w:val="0"/>
          <w:bCs w:val="0"/>
          <w:color w:val="002060"/>
        </w:rPr>
        <w:t xml:space="preserve">widoczna jest również w liczbie </w:t>
      </w:r>
      <w:r>
        <w:rPr>
          <w:rStyle w:val="Pogrubienie"/>
          <w:rFonts w:ascii="Calibri" w:hAnsi="Calibri" w:cs="Calibri"/>
          <w:b w:val="0"/>
          <w:bCs w:val="0"/>
          <w:color w:val="002060"/>
        </w:rPr>
        <w:t>firm</w:t>
      </w:r>
      <w:r w:rsidRPr="00AC7411">
        <w:rPr>
          <w:rStyle w:val="Pogrubienie"/>
          <w:rFonts w:ascii="Calibri" w:hAnsi="Calibri" w:cs="Calibri"/>
          <w:b w:val="0"/>
          <w:bCs w:val="0"/>
          <w:color w:val="002060"/>
        </w:rPr>
        <w:t xml:space="preserve">. W oficjalnej bazie przedsiębiorców sektora obronnego prowadzonej przez Ministerstwo Rozwoju i Technologii znajduje się obecnie 318 </w:t>
      </w:r>
      <w:r>
        <w:rPr>
          <w:rStyle w:val="Pogrubienie"/>
          <w:rFonts w:ascii="Calibri" w:hAnsi="Calibri" w:cs="Calibri"/>
          <w:b w:val="0"/>
          <w:bCs w:val="0"/>
          <w:color w:val="002060"/>
        </w:rPr>
        <w:t>firm</w:t>
      </w:r>
      <w:r w:rsidRPr="00AC7411">
        <w:rPr>
          <w:rStyle w:val="Pogrubienie"/>
          <w:rFonts w:ascii="Calibri" w:hAnsi="Calibri" w:cs="Calibri"/>
          <w:b w:val="0"/>
          <w:bCs w:val="0"/>
          <w:color w:val="002060"/>
        </w:rPr>
        <w:t xml:space="preserve"> (stan na 1 października 2026 r.). Baza obejmuje </w:t>
      </w:r>
      <w:r>
        <w:rPr>
          <w:rStyle w:val="Pogrubienie"/>
          <w:rFonts w:ascii="Calibri" w:hAnsi="Calibri" w:cs="Calibri"/>
          <w:b w:val="0"/>
          <w:bCs w:val="0"/>
          <w:color w:val="002060"/>
        </w:rPr>
        <w:t>przedsiębiorstwa oferujące</w:t>
      </w:r>
      <w:r w:rsidRPr="00AC7411">
        <w:rPr>
          <w:rStyle w:val="Pogrubienie"/>
          <w:rFonts w:ascii="Calibri" w:hAnsi="Calibri" w:cs="Calibri"/>
          <w:b w:val="0"/>
          <w:bCs w:val="0"/>
          <w:color w:val="002060"/>
        </w:rPr>
        <w:t xml:space="preserve"> produkty, technologie i usługi związane z obronnością, a także rozwiązania podwójnego zastosowania (dual-</w:t>
      </w:r>
      <w:proofErr w:type="spellStart"/>
      <w:r w:rsidRPr="00AC7411">
        <w:rPr>
          <w:rStyle w:val="Pogrubienie"/>
          <w:rFonts w:ascii="Calibri" w:hAnsi="Calibri" w:cs="Calibri"/>
          <w:b w:val="0"/>
          <w:bCs w:val="0"/>
          <w:color w:val="002060"/>
        </w:rPr>
        <w:t>use</w:t>
      </w:r>
      <w:proofErr w:type="spellEnd"/>
      <w:r w:rsidRPr="00AC7411">
        <w:rPr>
          <w:rStyle w:val="Pogrubienie"/>
          <w:rFonts w:ascii="Calibri" w:hAnsi="Calibri" w:cs="Calibri"/>
          <w:b w:val="0"/>
          <w:bCs w:val="0"/>
          <w:color w:val="002060"/>
        </w:rPr>
        <w:t xml:space="preserve">). W węższej kategorii „Produkcja broni i amunicji” znajduje się 149 podmiotów. </w:t>
      </w:r>
      <w:r w:rsidRPr="00AC7411">
        <w:rPr>
          <w:rFonts w:ascii="Calibri" w:hAnsi="Calibri" w:cs="Calibri"/>
          <w:color w:val="002060"/>
        </w:rPr>
        <w:t xml:space="preserve">Według danych </w:t>
      </w:r>
      <w:r>
        <w:rPr>
          <w:rFonts w:ascii="Calibri" w:hAnsi="Calibri" w:cs="Calibri"/>
          <w:color w:val="002060"/>
        </w:rPr>
        <w:t>KRS</w:t>
      </w:r>
      <w:r w:rsidRPr="00AC7411">
        <w:rPr>
          <w:rFonts w:ascii="Calibri" w:hAnsi="Calibri" w:cs="Calibri"/>
          <w:color w:val="002060"/>
        </w:rPr>
        <w:t xml:space="preserve"> w tej kategorii w 2025 r. zarejestrowano 18 nowych podmiotów, a w 2026 r. – kolejnych 13 (stan na 21 września 2026).</w:t>
      </w:r>
    </w:p>
    <w:p w14:paraId="28698C9E" w14:textId="50D7B529" w:rsidR="003F3027" w:rsidRPr="003F3027" w:rsidRDefault="003F3027" w:rsidP="0018770E">
      <w:pPr>
        <w:pStyle w:val="NormalnyWeb"/>
        <w:jc w:val="both"/>
        <w:rPr>
          <w:rFonts w:ascii="Calibri" w:hAnsi="Calibri" w:cs="Calibri"/>
          <w:b/>
          <w:bCs/>
          <w:color w:val="002060"/>
        </w:rPr>
      </w:pPr>
      <w:r>
        <w:rPr>
          <w:rFonts w:ascii="Calibri" w:hAnsi="Calibri" w:cs="Calibri"/>
          <w:b/>
          <w:bCs/>
          <w:color w:val="002060"/>
        </w:rPr>
        <w:t>Potrzebni nie tylko inżynierowie</w:t>
      </w:r>
    </w:p>
    <w:p w14:paraId="545090A2" w14:textId="44A77516" w:rsidR="007B5851" w:rsidRPr="007B5851" w:rsidRDefault="007B5851" w:rsidP="007B5851">
      <w:pPr>
        <w:pStyle w:val="Nagwek3"/>
        <w:jc w:val="both"/>
        <w:rPr>
          <w:rFonts w:ascii="Calibri" w:hAnsi="Calibri" w:cs="Calibri"/>
          <w:b w:val="0"/>
          <w:bCs w:val="0"/>
          <w:color w:val="002060"/>
          <w:sz w:val="24"/>
          <w:szCs w:val="24"/>
        </w:rPr>
      </w:pPr>
      <w:r w:rsidRPr="007B5851">
        <w:rPr>
          <w:rFonts w:ascii="Calibri" w:hAnsi="Calibri" w:cs="Calibri"/>
          <w:b w:val="0"/>
          <w:bCs w:val="0"/>
          <w:color w:val="002060"/>
          <w:sz w:val="24"/>
          <w:szCs w:val="24"/>
        </w:rPr>
        <w:t xml:space="preserve">Za tymi liczbami stoi również konkretny popyt na pracowników. Sama Polska Grupa Zbrojeniowa prowadzi obecnie rekrutację na ponad 220 stanowisk (stan na 6 października 2026 r.). Co więcej, PGZ współpracuje z blisko 12 tys. prywatnych przedsiębiorstw, od jednoosobowych działalności po duże firmy, które uczestniczą w realizacji zamówień i projektów dla sektora obronnego, a </w:t>
      </w:r>
      <w:r>
        <w:rPr>
          <w:rFonts w:ascii="Calibri" w:hAnsi="Calibri" w:cs="Calibri"/>
          <w:b w:val="0"/>
          <w:bCs w:val="0"/>
          <w:color w:val="002060"/>
          <w:sz w:val="24"/>
          <w:szCs w:val="24"/>
        </w:rPr>
        <w:t>żeby to robić sprawnie</w:t>
      </w:r>
      <w:r w:rsidRPr="007B5851">
        <w:rPr>
          <w:rFonts w:ascii="Calibri" w:hAnsi="Calibri" w:cs="Calibri"/>
          <w:b w:val="0"/>
          <w:bCs w:val="0"/>
          <w:color w:val="002060"/>
          <w:sz w:val="24"/>
          <w:szCs w:val="24"/>
        </w:rPr>
        <w:t xml:space="preserve"> również potrzebują </w:t>
      </w:r>
      <w:r>
        <w:rPr>
          <w:rFonts w:ascii="Calibri" w:hAnsi="Calibri" w:cs="Calibri"/>
          <w:b w:val="0"/>
          <w:bCs w:val="0"/>
          <w:color w:val="002060"/>
          <w:sz w:val="24"/>
          <w:szCs w:val="24"/>
        </w:rPr>
        <w:t>kadry</w:t>
      </w:r>
      <w:r w:rsidRPr="007B5851">
        <w:rPr>
          <w:rFonts w:ascii="Calibri" w:hAnsi="Calibri" w:cs="Calibri"/>
          <w:b w:val="0"/>
          <w:bCs w:val="0"/>
          <w:color w:val="002060"/>
          <w:sz w:val="24"/>
          <w:szCs w:val="24"/>
        </w:rPr>
        <w:t>.</w:t>
      </w:r>
    </w:p>
    <w:p w14:paraId="59570226" w14:textId="42618588" w:rsidR="007B5851" w:rsidRPr="0014661E" w:rsidRDefault="007B5851" w:rsidP="007B5851">
      <w:pPr>
        <w:pStyle w:val="Nagwek3"/>
        <w:jc w:val="both"/>
        <w:rPr>
          <w:rFonts w:ascii="Calibri" w:hAnsi="Calibri" w:cs="Calibri"/>
          <w:b w:val="0"/>
          <w:bCs w:val="0"/>
          <w:color w:val="002060"/>
          <w:sz w:val="24"/>
          <w:szCs w:val="24"/>
        </w:rPr>
      </w:pPr>
      <w:r w:rsidRPr="007B5851">
        <w:rPr>
          <w:rFonts w:ascii="Calibri" w:hAnsi="Calibri" w:cs="Calibri"/>
          <w:b w:val="0"/>
          <w:bCs w:val="0"/>
          <w:color w:val="002060"/>
          <w:sz w:val="24"/>
          <w:szCs w:val="24"/>
        </w:rPr>
        <w:t xml:space="preserve">To jednak tylko część rynku pracy powiązanego z rosnącymi wydatkami na obronność. Zapotrzebowanie na kadry rośnie także w instytucjach podległych resortowi obrony oraz wśród innych prywatnych producentów, podwykonawców </w:t>
      </w:r>
      <w:r w:rsidR="00793716">
        <w:rPr>
          <w:rFonts w:ascii="Calibri" w:hAnsi="Calibri" w:cs="Calibri"/>
          <w:b w:val="0"/>
          <w:bCs w:val="0"/>
          <w:color w:val="002060"/>
          <w:sz w:val="24"/>
          <w:szCs w:val="24"/>
        </w:rPr>
        <w:t>oraz</w:t>
      </w:r>
      <w:r w:rsidRPr="007B5851">
        <w:rPr>
          <w:rFonts w:ascii="Calibri" w:hAnsi="Calibri" w:cs="Calibri"/>
          <w:b w:val="0"/>
          <w:bCs w:val="0"/>
          <w:color w:val="002060"/>
          <w:sz w:val="24"/>
          <w:szCs w:val="24"/>
        </w:rPr>
        <w:t xml:space="preserve"> dostawców technologii i usług. Dotyczy to m.in. firm zajmujących się produkcją komponentów i obróbką metali, elektroniką, automatyką, IT i </w:t>
      </w:r>
      <w:proofErr w:type="spellStart"/>
      <w:r w:rsidRPr="007B5851">
        <w:rPr>
          <w:rFonts w:ascii="Calibri" w:hAnsi="Calibri" w:cs="Calibri"/>
          <w:b w:val="0"/>
          <w:bCs w:val="0"/>
          <w:color w:val="002060"/>
          <w:sz w:val="24"/>
          <w:szCs w:val="24"/>
        </w:rPr>
        <w:t>cyberbezpieczeństwem</w:t>
      </w:r>
      <w:proofErr w:type="spellEnd"/>
      <w:r w:rsidRPr="007B5851">
        <w:rPr>
          <w:rFonts w:ascii="Calibri" w:hAnsi="Calibri" w:cs="Calibri"/>
          <w:b w:val="0"/>
          <w:bCs w:val="0"/>
          <w:color w:val="002060"/>
          <w:sz w:val="24"/>
          <w:szCs w:val="24"/>
        </w:rPr>
        <w:t>, a także transportem, logistyką, serwisem i usługami technologicznymi – wynika z analiz Grupy Progres.</w:t>
      </w:r>
    </w:p>
    <w:p w14:paraId="0A7BF5CB" w14:textId="051EFCAA" w:rsidR="0014661E" w:rsidRPr="001E3D59" w:rsidRDefault="0014661E" w:rsidP="0018770E">
      <w:pPr>
        <w:pStyle w:val="Nagwek3"/>
        <w:jc w:val="both"/>
        <w:rPr>
          <w:rFonts w:ascii="Calibri" w:hAnsi="Calibri" w:cs="Calibri"/>
          <w:color w:val="002060"/>
          <w:sz w:val="24"/>
          <w:szCs w:val="24"/>
        </w:rPr>
      </w:pPr>
      <w:r w:rsidRPr="001E3D59">
        <w:rPr>
          <w:rFonts w:ascii="Calibri" w:hAnsi="Calibri" w:cs="Calibri"/>
          <w:color w:val="002060"/>
          <w:sz w:val="24"/>
          <w:szCs w:val="24"/>
        </w:rPr>
        <w:t>Europejska zbrojeniówka też zwiększa zatrudnienie</w:t>
      </w:r>
    </w:p>
    <w:p w14:paraId="14FFD9E5" w14:textId="1CB0E50F" w:rsidR="00553F38" w:rsidRPr="001E3D59" w:rsidRDefault="00553F38" w:rsidP="0018770E">
      <w:pPr>
        <w:pStyle w:val="NormalnyWeb"/>
        <w:jc w:val="both"/>
        <w:rPr>
          <w:rFonts w:ascii="Calibri" w:hAnsi="Calibri" w:cs="Calibri"/>
          <w:color w:val="002060"/>
        </w:rPr>
      </w:pPr>
      <w:r w:rsidRPr="001E3D59">
        <w:rPr>
          <w:rFonts w:ascii="Calibri" w:hAnsi="Calibri" w:cs="Calibri"/>
          <w:color w:val="002060"/>
        </w:rPr>
        <w:t xml:space="preserve">Rosnące zapotrzebowanie na pracowników nie jest wyłącznie polskim zjawiskiem. Jak wynika z analizy </w:t>
      </w:r>
      <w:proofErr w:type="spellStart"/>
      <w:r w:rsidRPr="001E3D59">
        <w:rPr>
          <w:rFonts w:ascii="Calibri" w:hAnsi="Calibri" w:cs="Calibri"/>
          <w:color w:val="002060"/>
        </w:rPr>
        <w:t>Indeed</w:t>
      </w:r>
      <w:proofErr w:type="spellEnd"/>
      <w:r w:rsidRPr="001E3D59">
        <w:rPr>
          <w:rFonts w:ascii="Calibri" w:hAnsi="Calibri" w:cs="Calibri"/>
          <w:color w:val="002060"/>
        </w:rPr>
        <w:t xml:space="preserve"> </w:t>
      </w:r>
      <w:proofErr w:type="spellStart"/>
      <w:r w:rsidRPr="001E3D59">
        <w:rPr>
          <w:rFonts w:ascii="Calibri" w:hAnsi="Calibri" w:cs="Calibri"/>
          <w:color w:val="002060"/>
        </w:rPr>
        <w:t>Hiring</w:t>
      </w:r>
      <w:proofErr w:type="spellEnd"/>
      <w:r w:rsidRPr="001E3D59">
        <w:rPr>
          <w:rFonts w:ascii="Calibri" w:hAnsi="Calibri" w:cs="Calibri"/>
          <w:color w:val="002060"/>
        </w:rPr>
        <w:t xml:space="preserve"> Lab, w kwietniu 2026 r. liczba ofert pracy publikowanych przez 25 </w:t>
      </w:r>
      <w:r w:rsidRPr="001E3D59">
        <w:rPr>
          <w:rFonts w:ascii="Calibri" w:hAnsi="Calibri" w:cs="Calibri"/>
          <w:color w:val="002060"/>
        </w:rPr>
        <w:lastRenderedPageBreak/>
        <w:t xml:space="preserve">największych europejskich firm z sektora obronnego była o 65 proc. wyższa niż średnia z 2021 r. i o 14 proc. wyższa niż </w:t>
      </w:r>
      <w:r w:rsidR="001E3D59" w:rsidRPr="001E3D59">
        <w:rPr>
          <w:rFonts w:ascii="Calibri" w:hAnsi="Calibri" w:cs="Calibri"/>
          <w:color w:val="002060"/>
        </w:rPr>
        <w:t>w ubiegłym roku</w:t>
      </w:r>
      <w:r w:rsidRPr="001E3D59">
        <w:rPr>
          <w:rFonts w:ascii="Calibri" w:hAnsi="Calibri" w:cs="Calibri"/>
          <w:color w:val="002060"/>
        </w:rPr>
        <w:t xml:space="preserve">. W tym samym czasie ogólna liczba ofert pracy na analizowanych europejskich rynkach była o 15 proc. niższa niż w 2021 r. </w:t>
      </w:r>
    </w:p>
    <w:p w14:paraId="3668F548" w14:textId="3F3CAC95" w:rsidR="001E3D59" w:rsidRPr="001E3D59" w:rsidRDefault="001E3D59" w:rsidP="0018770E">
      <w:pPr>
        <w:pStyle w:val="NormalnyWeb"/>
        <w:jc w:val="both"/>
        <w:rPr>
          <w:rFonts w:ascii="Calibri" w:hAnsi="Calibri" w:cs="Calibri"/>
          <w:color w:val="002060"/>
        </w:rPr>
      </w:pPr>
      <w:r w:rsidRPr="001E3D59">
        <w:rPr>
          <w:rFonts w:ascii="Calibri" w:hAnsi="Calibri" w:cs="Calibri"/>
          <w:color w:val="002060"/>
        </w:rPr>
        <w:t>Zapotrzebowanie sektora obronnego obejmuje różne grupy zawodowe i kompetencje</w:t>
      </w:r>
      <w:r w:rsidR="00553F38" w:rsidRPr="001E3D59">
        <w:rPr>
          <w:rFonts w:ascii="Calibri" w:hAnsi="Calibri" w:cs="Calibri"/>
          <w:color w:val="002060"/>
        </w:rPr>
        <w:t xml:space="preserve">. Od stycznia do kwietnia 2026 r. oferty związane z tworzeniem oprogramowania stanowiły średnio 14,7 proc. wszystkich analizowanych ogłoszeń, niemal tyle samo co stanowiska dla pracowników technicznych produkcji – 14,6 proc. Inżynierowie odpowiadali za kolejne 11,5 proc. ofert. </w:t>
      </w:r>
      <w:r w:rsidRPr="001E3D59">
        <w:rPr>
          <w:rFonts w:ascii="Calibri" w:hAnsi="Calibri" w:cs="Calibri"/>
          <w:color w:val="002060"/>
        </w:rPr>
        <w:t xml:space="preserve">Ten trend widać również na polskim rynku pracy. Analizy Grupy Progres pokazują, że rozwój </w:t>
      </w:r>
      <w:r w:rsidR="00D76D34">
        <w:rPr>
          <w:rFonts w:ascii="Calibri" w:hAnsi="Calibri" w:cs="Calibri"/>
          <w:color w:val="002060"/>
        </w:rPr>
        <w:t>s</w:t>
      </w:r>
      <w:r w:rsidRPr="001E3D59">
        <w:rPr>
          <w:rFonts w:ascii="Calibri" w:hAnsi="Calibri" w:cs="Calibri"/>
          <w:color w:val="002060"/>
        </w:rPr>
        <w:t xml:space="preserve">ektora obronnego zwiększa konkurencję o pracowników także poza firmami bezpośrednio związanymi z produkcją uzbrojenia. O </w:t>
      </w:r>
      <w:r>
        <w:rPr>
          <w:rFonts w:ascii="Calibri" w:hAnsi="Calibri" w:cs="Calibri"/>
          <w:color w:val="002060"/>
        </w:rPr>
        <w:t>etaty</w:t>
      </w:r>
      <w:r w:rsidRPr="001E3D59">
        <w:rPr>
          <w:rFonts w:ascii="Calibri" w:hAnsi="Calibri" w:cs="Calibri"/>
          <w:color w:val="002060"/>
        </w:rPr>
        <w:t xml:space="preserve"> związane z realizacją zamówień dla branży konkurują więc firmy z różnych sektorów, w tym przemysłu, IT, logistyki i transportu</w:t>
      </w:r>
      <w:r>
        <w:rPr>
          <w:rFonts w:ascii="Calibri" w:hAnsi="Calibri" w:cs="Calibri"/>
          <w:color w:val="002060"/>
        </w:rPr>
        <w:t xml:space="preserve"> dając kandydatom</w:t>
      </w:r>
      <w:r w:rsidRPr="001E3D59">
        <w:rPr>
          <w:rFonts w:ascii="Calibri" w:hAnsi="Calibri" w:cs="Calibri"/>
          <w:color w:val="002060"/>
        </w:rPr>
        <w:t xml:space="preserve"> nowe możliwości zatrudnienia również poza tradycyjnie rozumianą zbrojeniówką.</w:t>
      </w:r>
    </w:p>
    <w:p w14:paraId="3A1189DF" w14:textId="03E8583B" w:rsidR="001E3D59" w:rsidRDefault="00553F38" w:rsidP="0018770E">
      <w:pPr>
        <w:pStyle w:val="NormalnyWeb"/>
        <w:jc w:val="both"/>
        <w:rPr>
          <w:rStyle w:val="Pogrubienie"/>
          <w:rFonts w:ascii="Calibri" w:hAnsi="Calibri" w:cs="Calibri"/>
          <w:color w:val="002060"/>
        </w:rPr>
      </w:pPr>
      <w:r w:rsidRPr="001E3D59">
        <w:rPr>
          <w:rFonts w:ascii="Calibri" w:hAnsi="Calibri" w:cs="Calibri"/>
          <w:color w:val="002060"/>
        </w:rPr>
        <w:t xml:space="preserve">– </w:t>
      </w:r>
      <w:r w:rsidRPr="001E3D59">
        <w:rPr>
          <w:rStyle w:val="Uwydatnienie"/>
          <w:rFonts w:ascii="Calibri" w:hAnsi="Calibri" w:cs="Calibri"/>
          <w:color w:val="002060"/>
        </w:rPr>
        <w:t xml:space="preserve">Dla sektora obronnego największym wyzwaniem nie jest dziś wyłącznie znalezienie osób z </w:t>
      </w:r>
      <w:r w:rsidR="001E3D59">
        <w:rPr>
          <w:rStyle w:val="Uwydatnienie"/>
          <w:rFonts w:ascii="Calibri" w:hAnsi="Calibri" w:cs="Calibri"/>
          <w:color w:val="002060"/>
        </w:rPr>
        <w:t xml:space="preserve">branżowym </w:t>
      </w:r>
      <w:r w:rsidRPr="001E3D59">
        <w:rPr>
          <w:rStyle w:val="Uwydatnienie"/>
          <w:rFonts w:ascii="Calibri" w:hAnsi="Calibri" w:cs="Calibri"/>
          <w:color w:val="002060"/>
        </w:rPr>
        <w:t xml:space="preserve">doświadczeniem. Równie ważne staje się pozyskiwanie pracowników z innych </w:t>
      </w:r>
      <w:r w:rsidR="001E3D59">
        <w:rPr>
          <w:rStyle w:val="Uwydatnienie"/>
          <w:rFonts w:ascii="Calibri" w:hAnsi="Calibri" w:cs="Calibri"/>
          <w:color w:val="002060"/>
        </w:rPr>
        <w:t>gałęzi przemysłu</w:t>
      </w:r>
      <w:r w:rsidRPr="001E3D59">
        <w:rPr>
          <w:rStyle w:val="Uwydatnienie"/>
          <w:rFonts w:ascii="Calibri" w:hAnsi="Calibri" w:cs="Calibri"/>
          <w:color w:val="002060"/>
        </w:rPr>
        <w:t xml:space="preserve"> i przygotowanie ich do pracy przy projektach związanych z obronnością. Operator CNC może przyjść z automotive, automatyk z przemysłu, informatyk z sektora nowych technologii, a kierowca czy logistyk z TSL. Firmy, które potrafią wykorzystać te transfery kompetencji i szybko uzupełniać kwalifikacje pracowników, będą miały większą szansę na zbudowanie zespołów odpowiadających potrzebom tego rynku, a te są spore</w:t>
      </w:r>
      <w:r w:rsidRPr="001E3D59">
        <w:rPr>
          <w:rFonts w:ascii="Calibri" w:hAnsi="Calibri" w:cs="Calibri"/>
          <w:color w:val="002060"/>
        </w:rPr>
        <w:t xml:space="preserve"> – </w:t>
      </w:r>
      <w:r w:rsidR="001E3D59">
        <w:rPr>
          <w:rStyle w:val="Pogrubienie"/>
          <w:rFonts w:ascii="Calibri" w:hAnsi="Calibri" w:cs="Calibri"/>
          <w:color w:val="002060"/>
        </w:rPr>
        <w:t xml:space="preserve">zaznacza </w:t>
      </w:r>
      <w:r w:rsidRPr="001E3D59">
        <w:rPr>
          <w:rStyle w:val="Pogrubienie"/>
          <w:rFonts w:ascii="Calibri" w:hAnsi="Calibri" w:cs="Calibri"/>
          <w:color w:val="002060"/>
        </w:rPr>
        <w:t>Magda Dąbrowska, prezeska Grupy Progres.</w:t>
      </w:r>
    </w:p>
    <w:p w14:paraId="6F6B342F" w14:textId="77777777" w:rsidR="001E3D59" w:rsidRPr="00AC7411" w:rsidRDefault="001E3D59" w:rsidP="0018770E">
      <w:pPr>
        <w:pStyle w:val="NormalnyWeb"/>
        <w:jc w:val="both"/>
        <w:rPr>
          <w:rStyle w:val="Pogrubienie"/>
          <w:rFonts w:ascii="Calibri" w:hAnsi="Calibri" w:cs="Calibri"/>
          <w:color w:val="002060"/>
        </w:rPr>
      </w:pPr>
      <w:r w:rsidRPr="00AC7411">
        <w:rPr>
          <w:rStyle w:val="Pogrubienie"/>
          <w:rFonts w:ascii="Calibri" w:hAnsi="Calibri" w:cs="Calibri"/>
          <w:color w:val="002060"/>
        </w:rPr>
        <w:t>Kogo dziś potrzebuje polska zbrojeniówka? Niemal każdego</w:t>
      </w:r>
    </w:p>
    <w:p w14:paraId="03EC4D19" w14:textId="11A8F53B" w:rsidR="00553F38" w:rsidRDefault="001E3D59" w:rsidP="0018770E">
      <w:pPr>
        <w:pStyle w:val="NormalnyWeb"/>
        <w:jc w:val="both"/>
        <w:rPr>
          <w:rFonts w:ascii="Calibri" w:hAnsi="Calibri" w:cs="Calibri"/>
          <w:color w:val="002060"/>
        </w:rPr>
      </w:pPr>
      <w:r w:rsidRPr="00AC7411">
        <w:rPr>
          <w:rFonts w:ascii="Calibri" w:hAnsi="Calibri" w:cs="Calibri"/>
          <w:color w:val="002060"/>
        </w:rPr>
        <w:t>Lista poszukiwanych kompetencji pokazuje, jak szeroki jest ten rynek. Firmy rekrutują operatorów i programistów CNC, monterów, spawaczy, elektromechaników, automatyków, technologów, konstruktorów, kontrolerów jakości, mechaników i pracowników utrzymania ruchu. Potrzebni są także inżynierowie elektronicy, specjaliści od systemów bezzałogowyc</w:t>
      </w:r>
      <w:r w:rsidR="00732A7D">
        <w:rPr>
          <w:rFonts w:ascii="Calibri" w:hAnsi="Calibri" w:cs="Calibri"/>
          <w:color w:val="002060"/>
        </w:rPr>
        <w:t>h i</w:t>
      </w:r>
      <w:r w:rsidRPr="00AC7411">
        <w:rPr>
          <w:rFonts w:ascii="Calibri" w:hAnsi="Calibri" w:cs="Calibri"/>
          <w:color w:val="002060"/>
        </w:rPr>
        <w:t xml:space="preserve"> radarów, cyberbezpieczeństwa, oprogramowania i analizy danych</w:t>
      </w:r>
      <w:r w:rsidR="00732A7D">
        <w:rPr>
          <w:rFonts w:ascii="Calibri" w:hAnsi="Calibri" w:cs="Calibri"/>
          <w:color w:val="002060"/>
        </w:rPr>
        <w:t>, a także</w:t>
      </w:r>
      <w:r w:rsidRPr="00AC7411">
        <w:rPr>
          <w:rFonts w:ascii="Calibri" w:hAnsi="Calibri" w:cs="Calibri"/>
          <w:color w:val="002060"/>
        </w:rPr>
        <w:t xml:space="preserve"> </w:t>
      </w:r>
      <w:r w:rsidRPr="00AC7411">
        <w:rPr>
          <w:rStyle w:val="Pogrubienie"/>
          <w:rFonts w:ascii="Calibri" w:hAnsi="Calibri" w:cs="Calibri"/>
          <w:b w:val="0"/>
          <w:bCs w:val="0"/>
          <w:color w:val="002060"/>
        </w:rPr>
        <w:t>wykwalifikowan</w:t>
      </w:r>
      <w:r w:rsidR="00732A7D">
        <w:rPr>
          <w:rStyle w:val="Pogrubienie"/>
          <w:rFonts w:ascii="Calibri" w:hAnsi="Calibri" w:cs="Calibri"/>
          <w:b w:val="0"/>
          <w:bCs w:val="0"/>
          <w:color w:val="002060"/>
        </w:rPr>
        <w:t>i</w:t>
      </w:r>
      <w:r w:rsidRPr="00AC7411">
        <w:rPr>
          <w:rStyle w:val="Pogrubienie"/>
          <w:rFonts w:ascii="Calibri" w:hAnsi="Calibri" w:cs="Calibri"/>
          <w:b w:val="0"/>
          <w:bCs w:val="0"/>
          <w:color w:val="002060"/>
        </w:rPr>
        <w:t xml:space="preserve"> </w:t>
      </w:r>
      <w:r w:rsidRPr="00732A7D">
        <w:rPr>
          <w:rStyle w:val="Pogrubienie"/>
          <w:rFonts w:ascii="Calibri" w:hAnsi="Calibri" w:cs="Calibri"/>
          <w:b w:val="0"/>
          <w:bCs w:val="0"/>
          <w:color w:val="002060"/>
        </w:rPr>
        <w:t>pracowni</w:t>
      </w:r>
      <w:r w:rsidR="00732A7D" w:rsidRPr="00732A7D">
        <w:rPr>
          <w:rStyle w:val="Pogrubienie"/>
          <w:rFonts w:ascii="Calibri" w:hAnsi="Calibri" w:cs="Calibri"/>
          <w:b w:val="0"/>
          <w:bCs w:val="0"/>
          <w:color w:val="002060"/>
        </w:rPr>
        <w:t>cy</w:t>
      </w:r>
      <w:r w:rsidRPr="00732A7D">
        <w:rPr>
          <w:rStyle w:val="Pogrubienie"/>
          <w:rFonts w:ascii="Calibri" w:hAnsi="Calibri" w:cs="Calibri"/>
          <w:b w:val="0"/>
          <w:bCs w:val="0"/>
          <w:color w:val="002060"/>
        </w:rPr>
        <w:t xml:space="preserve"> produkcji i serwisu</w:t>
      </w:r>
      <w:r w:rsidR="00732A7D" w:rsidRPr="00732A7D">
        <w:rPr>
          <w:rStyle w:val="Pogrubienie"/>
          <w:rFonts w:ascii="Calibri" w:hAnsi="Calibri" w:cs="Calibri"/>
          <w:b w:val="0"/>
          <w:bCs w:val="0"/>
          <w:color w:val="002060"/>
        </w:rPr>
        <w:t xml:space="preserve"> oraz</w:t>
      </w:r>
      <w:r w:rsidRPr="00732A7D">
        <w:rPr>
          <w:rStyle w:val="Pogrubienie"/>
          <w:rFonts w:ascii="Calibri" w:hAnsi="Calibri" w:cs="Calibri"/>
          <w:b w:val="0"/>
          <w:bCs w:val="0"/>
          <w:color w:val="002060"/>
        </w:rPr>
        <w:t xml:space="preserve"> specjali</w:t>
      </w:r>
      <w:r w:rsidR="00732A7D" w:rsidRPr="00732A7D">
        <w:rPr>
          <w:rStyle w:val="Pogrubienie"/>
          <w:rFonts w:ascii="Calibri" w:hAnsi="Calibri" w:cs="Calibri"/>
          <w:b w:val="0"/>
          <w:bCs w:val="0"/>
          <w:color w:val="002060"/>
        </w:rPr>
        <w:t xml:space="preserve">ści </w:t>
      </w:r>
      <w:r w:rsidRPr="00732A7D">
        <w:rPr>
          <w:rStyle w:val="Pogrubienie"/>
          <w:rFonts w:ascii="Calibri" w:hAnsi="Calibri" w:cs="Calibri"/>
          <w:b w:val="0"/>
          <w:bCs w:val="0"/>
          <w:color w:val="002060"/>
        </w:rPr>
        <w:t>B+R</w:t>
      </w:r>
      <w:r w:rsidR="00732A7D" w:rsidRPr="00732A7D">
        <w:rPr>
          <w:rStyle w:val="Pogrubienie"/>
          <w:rFonts w:ascii="Calibri" w:hAnsi="Calibri" w:cs="Calibri"/>
          <w:b w:val="0"/>
          <w:bCs w:val="0"/>
          <w:color w:val="002060"/>
        </w:rPr>
        <w:t xml:space="preserve">. </w:t>
      </w:r>
      <w:r w:rsidRPr="00732A7D">
        <w:rPr>
          <w:rFonts w:ascii="Calibri" w:hAnsi="Calibri" w:cs="Calibri"/>
          <w:color w:val="002060"/>
        </w:rPr>
        <w:t>Nie brakuje również etatów czekających</w:t>
      </w:r>
      <w:r w:rsidR="00732A7D" w:rsidRPr="00732A7D">
        <w:rPr>
          <w:rFonts w:ascii="Calibri" w:hAnsi="Calibri" w:cs="Calibri"/>
          <w:color w:val="002060"/>
        </w:rPr>
        <w:t xml:space="preserve"> na </w:t>
      </w:r>
      <w:r w:rsidR="00732A7D" w:rsidRPr="00732A7D">
        <w:rPr>
          <w:rStyle w:val="Pogrubienie"/>
          <w:rFonts w:ascii="Calibri" w:hAnsi="Calibri" w:cs="Calibri"/>
          <w:b w:val="0"/>
          <w:bCs w:val="0"/>
          <w:color w:val="002060"/>
        </w:rPr>
        <w:t xml:space="preserve">ekspertów IT </w:t>
      </w:r>
      <w:r w:rsidR="00732A7D">
        <w:rPr>
          <w:rStyle w:val="Pogrubienie"/>
          <w:rFonts w:ascii="Calibri" w:hAnsi="Calibri" w:cs="Calibri"/>
          <w:b w:val="0"/>
          <w:bCs w:val="0"/>
          <w:color w:val="002060"/>
        </w:rPr>
        <w:t xml:space="preserve">oraz </w:t>
      </w:r>
      <w:r w:rsidR="00732A7D" w:rsidRPr="00732A7D">
        <w:rPr>
          <w:rStyle w:val="Pogrubienie"/>
          <w:rFonts w:ascii="Calibri" w:hAnsi="Calibri" w:cs="Calibri"/>
          <w:b w:val="0"/>
          <w:bCs w:val="0"/>
          <w:color w:val="002060"/>
        </w:rPr>
        <w:t>osoby, które w firmie będą odpowiedzialne za finanse, zakupy czy kwestie prawne</w:t>
      </w:r>
      <w:r w:rsidR="00451150">
        <w:rPr>
          <w:rStyle w:val="Pogrubienie"/>
          <w:rFonts w:ascii="Calibri" w:hAnsi="Calibri" w:cs="Calibri"/>
          <w:b w:val="0"/>
          <w:bCs w:val="0"/>
          <w:color w:val="002060"/>
        </w:rPr>
        <w:t xml:space="preserve"> oraz HR</w:t>
      </w:r>
      <w:r w:rsidR="00732A7D" w:rsidRPr="00732A7D">
        <w:rPr>
          <w:rStyle w:val="Pogrubienie"/>
          <w:rFonts w:ascii="Calibri" w:hAnsi="Calibri" w:cs="Calibri"/>
          <w:b w:val="0"/>
          <w:bCs w:val="0"/>
          <w:color w:val="002060"/>
        </w:rPr>
        <w:t>.</w:t>
      </w:r>
      <w:r w:rsidR="00732A7D" w:rsidRPr="00732A7D">
        <w:rPr>
          <w:rFonts w:ascii="Calibri" w:hAnsi="Calibri" w:cs="Calibri"/>
          <w:color w:val="002060"/>
        </w:rPr>
        <w:t xml:space="preserve"> </w:t>
      </w:r>
      <w:r w:rsidR="00553F38" w:rsidRPr="00732A7D">
        <w:rPr>
          <w:rFonts w:ascii="Calibri" w:hAnsi="Calibri" w:cs="Calibri"/>
          <w:color w:val="002060"/>
        </w:rPr>
        <w:t xml:space="preserve">Wraz ze wzrostem skali produkcji, zamówień rośnie </w:t>
      </w:r>
      <w:r w:rsidR="00732A7D" w:rsidRPr="00732A7D">
        <w:rPr>
          <w:rFonts w:ascii="Calibri" w:hAnsi="Calibri" w:cs="Calibri"/>
          <w:color w:val="002060"/>
        </w:rPr>
        <w:t>też</w:t>
      </w:r>
      <w:r w:rsidR="00553F38" w:rsidRPr="00732A7D">
        <w:rPr>
          <w:rFonts w:ascii="Calibri" w:hAnsi="Calibri" w:cs="Calibri"/>
          <w:color w:val="002060"/>
        </w:rPr>
        <w:t xml:space="preserve"> zapotrzebowanie na </w:t>
      </w:r>
      <w:r w:rsidR="00732A7D">
        <w:rPr>
          <w:rFonts w:ascii="Calibri" w:hAnsi="Calibri" w:cs="Calibri"/>
          <w:color w:val="002060"/>
        </w:rPr>
        <w:t>kadrę</w:t>
      </w:r>
      <w:r w:rsidR="00553F38" w:rsidRPr="00732A7D">
        <w:rPr>
          <w:rFonts w:ascii="Calibri" w:hAnsi="Calibri" w:cs="Calibri"/>
          <w:color w:val="002060"/>
        </w:rPr>
        <w:t xml:space="preserve"> odpowiedzialn</w:t>
      </w:r>
      <w:r w:rsidR="00732A7D">
        <w:rPr>
          <w:rFonts w:ascii="Calibri" w:hAnsi="Calibri" w:cs="Calibri"/>
          <w:color w:val="002060"/>
        </w:rPr>
        <w:t>ą</w:t>
      </w:r>
      <w:r w:rsidR="00553F38" w:rsidRPr="00732A7D">
        <w:rPr>
          <w:rFonts w:ascii="Calibri" w:hAnsi="Calibri" w:cs="Calibri"/>
          <w:color w:val="002060"/>
        </w:rPr>
        <w:t xml:space="preserve"> za sprawne funkcjonowanie całego łańcucha dostaw</w:t>
      </w:r>
      <w:r w:rsidR="00732A7D" w:rsidRPr="00732A7D">
        <w:rPr>
          <w:rFonts w:ascii="Calibri" w:hAnsi="Calibri" w:cs="Calibri"/>
          <w:color w:val="002060"/>
        </w:rPr>
        <w:t xml:space="preserve"> – logistyków, magazynierów i kierowców.</w:t>
      </w:r>
    </w:p>
    <w:p w14:paraId="17904390" w14:textId="77777777" w:rsidR="00732A7D" w:rsidRPr="00AC7411" w:rsidRDefault="00732A7D" w:rsidP="0018770E">
      <w:pPr>
        <w:pStyle w:val="NormalnyWeb"/>
        <w:jc w:val="both"/>
        <w:rPr>
          <w:rStyle w:val="Pogrubienie"/>
          <w:rFonts w:ascii="Calibri" w:hAnsi="Calibri" w:cs="Calibri"/>
          <w:color w:val="002060"/>
        </w:rPr>
      </w:pPr>
      <w:r w:rsidRPr="00AC7411">
        <w:rPr>
          <w:rStyle w:val="Pogrubienie"/>
          <w:rFonts w:ascii="Calibri" w:hAnsi="Calibri" w:cs="Calibri"/>
          <w:color w:val="002060"/>
        </w:rPr>
        <w:t>Brak rąk do pracy ma swoją cenę</w:t>
      </w:r>
    </w:p>
    <w:p w14:paraId="147CAFF3" w14:textId="77777777" w:rsidR="00732A7D" w:rsidRDefault="00732A7D" w:rsidP="0018770E">
      <w:pPr>
        <w:pStyle w:val="NormalnyWeb"/>
        <w:jc w:val="both"/>
        <w:rPr>
          <w:rStyle w:val="Pogrubienie"/>
          <w:rFonts w:ascii="Calibri" w:hAnsi="Calibri" w:cs="Calibri"/>
          <w:b w:val="0"/>
          <w:bCs w:val="0"/>
          <w:color w:val="002060"/>
        </w:rPr>
      </w:pPr>
      <w:r w:rsidRPr="00AC7411">
        <w:rPr>
          <w:rStyle w:val="Pogrubienie"/>
          <w:rFonts w:ascii="Calibri" w:hAnsi="Calibri" w:cs="Calibri"/>
          <w:b w:val="0"/>
          <w:bCs w:val="0"/>
          <w:color w:val="002060"/>
        </w:rPr>
        <w:t>Konkurencja o pracowników przekłada się również na wynagrodzenia. W analizach rynku pracy Grupy Progres stanowiska produkcyjne w sektorze obronnym osiągają poziom ok. 8–11 tys. zł brutto miesięcznie, doświadczeni inżynierowie i eksperci techniczni mogą zarabiać 12–20 tys. zł brutto, a wynagrodzenia przy strategicznych projektach przekraczają 14 tys. zł brutto miesięcznie. Najwyższe stawki dotyczą przede wszystkim osób z doświadczeniem technicznym, uprawnieniami oraz kompetencjami, których brakuje na rynku.</w:t>
      </w:r>
    </w:p>
    <w:p w14:paraId="46F5C295" w14:textId="21CF3FC3" w:rsidR="00CF225F" w:rsidRDefault="00CF225F" w:rsidP="0018770E">
      <w:pPr>
        <w:pStyle w:val="NormalnyWeb"/>
        <w:jc w:val="both"/>
        <w:rPr>
          <w:rStyle w:val="Pogrubienie"/>
          <w:rFonts w:ascii="Calibri" w:hAnsi="Calibri" w:cs="Calibri"/>
          <w:color w:val="002060"/>
        </w:rPr>
      </w:pPr>
      <w:r w:rsidRPr="00AC7411">
        <w:rPr>
          <w:rStyle w:val="Pogrubienie"/>
          <w:rFonts w:ascii="Calibri" w:hAnsi="Calibri" w:cs="Calibri"/>
          <w:b w:val="0"/>
          <w:bCs w:val="0"/>
          <w:color w:val="002060"/>
        </w:rPr>
        <w:lastRenderedPageBreak/>
        <w:t xml:space="preserve">– </w:t>
      </w:r>
      <w:r w:rsidRPr="00AC7411">
        <w:rPr>
          <w:rStyle w:val="Pogrubienie"/>
          <w:rFonts w:ascii="Calibri" w:hAnsi="Calibri" w:cs="Calibri"/>
          <w:b w:val="0"/>
          <w:bCs w:val="0"/>
          <w:i/>
          <w:iCs/>
          <w:color w:val="002060"/>
        </w:rPr>
        <w:t>Jeszcze niedawno sektor obronny był dla wielu kandydatów bardzo wąską specjalizacją. Dziś sytuacja wygląda inaczej – rozwój przemysłu, skala inwestycji i rosnące wynagrodzenia sprawiają, że firmy związane z obronnością konkurują o tych samych pracowników co automotive, nowe technologie, produkcja czy TSL. Jednocześnie dla kandydatów jest to coraz bardziej atrakcyjna branża</w:t>
      </w:r>
      <w:r>
        <w:rPr>
          <w:rStyle w:val="Pogrubienie"/>
          <w:rFonts w:ascii="Calibri" w:hAnsi="Calibri" w:cs="Calibri"/>
          <w:b w:val="0"/>
          <w:bCs w:val="0"/>
          <w:i/>
          <w:iCs/>
          <w:color w:val="002060"/>
        </w:rPr>
        <w:t xml:space="preserve"> dająca </w:t>
      </w:r>
      <w:r w:rsidRPr="00AC7411">
        <w:rPr>
          <w:rStyle w:val="Pogrubienie"/>
          <w:rFonts w:ascii="Calibri" w:hAnsi="Calibri" w:cs="Calibri"/>
          <w:b w:val="0"/>
          <w:bCs w:val="0"/>
          <w:i/>
          <w:iCs/>
          <w:color w:val="002060"/>
        </w:rPr>
        <w:t xml:space="preserve">możliwość pracy przy dużych, długoterminowych projektach i rozwijania kompetencji, na które zapotrzebowanie będzie rosło. To naturalnie przyciąga również studentów </w:t>
      </w:r>
      <w:r w:rsidRPr="00AC7411">
        <w:rPr>
          <w:rStyle w:val="Pogrubienie"/>
          <w:rFonts w:ascii="Calibri" w:hAnsi="Calibri" w:cs="Calibri"/>
          <w:b w:val="0"/>
          <w:bCs w:val="0"/>
          <w:color w:val="002060"/>
        </w:rPr>
        <w:t xml:space="preserve">– </w:t>
      </w:r>
      <w:r>
        <w:rPr>
          <w:rStyle w:val="Pogrubienie"/>
          <w:rFonts w:ascii="Calibri" w:hAnsi="Calibri" w:cs="Calibri"/>
          <w:color w:val="002060"/>
        </w:rPr>
        <w:t>podkreśla</w:t>
      </w:r>
      <w:r w:rsidRPr="00AC7411">
        <w:rPr>
          <w:rStyle w:val="Pogrubienie"/>
          <w:rFonts w:ascii="Calibri" w:hAnsi="Calibri" w:cs="Calibri"/>
          <w:color w:val="002060"/>
        </w:rPr>
        <w:t xml:space="preserve"> Magda Dąbrowska, prezeska Grupy Progres.</w:t>
      </w:r>
    </w:p>
    <w:p w14:paraId="2FEB8D72" w14:textId="1A18930B" w:rsidR="00CF225F" w:rsidRDefault="00CF225F" w:rsidP="0018770E">
      <w:pPr>
        <w:pStyle w:val="NormalnyWeb"/>
        <w:jc w:val="both"/>
        <w:rPr>
          <w:rStyle w:val="Pogrubienie"/>
          <w:rFonts w:ascii="Calibri" w:hAnsi="Calibri" w:cs="Calibri"/>
          <w:color w:val="002060"/>
        </w:rPr>
      </w:pPr>
      <w:r>
        <w:rPr>
          <w:rStyle w:val="Pogrubienie"/>
          <w:rFonts w:ascii="Calibri" w:hAnsi="Calibri" w:cs="Calibri"/>
          <w:color w:val="002060"/>
        </w:rPr>
        <w:t>Armia i uczelnie też rekrutują</w:t>
      </w:r>
    </w:p>
    <w:p w14:paraId="480BF48D" w14:textId="77777777" w:rsidR="0018770E" w:rsidRPr="0018770E" w:rsidRDefault="00CF225F" w:rsidP="0018770E">
      <w:pPr>
        <w:pStyle w:val="NormalnyWeb"/>
        <w:jc w:val="both"/>
        <w:rPr>
          <w:rStyle w:val="Pogrubienie"/>
          <w:rFonts w:ascii="Calibri" w:hAnsi="Calibri" w:cs="Calibri"/>
          <w:color w:val="002060"/>
        </w:rPr>
      </w:pPr>
      <w:r w:rsidRPr="00CF225F">
        <w:rPr>
          <w:rFonts w:ascii="Calibri" w:hAnsi="Calibri" w:cs="Calibri"/>
          <w:color w:val="002060"/>
        </w:rPr>
        <w:t xml:space="preserve">Zapotrzebowanie na ludzi widać nie tylko w firmach. MON planuje w 2027 r. możliwość powołania do 20 tys. osób do zawodowej służby wojskowej, do 35 tys. do dobrowolnej zasadniczej służby wojskowej, do 40 tys. do terytorialnej służby wojskowej i do 5,8 tys. do aktywnej rezerwy. Kolejne 200 tys. osób może zostać powołanych na ćwiczenia wojskowe. Są to maksymalne limity powołań, a nie liczba wakatów czy gwarantowanych przyjęć, dlatego nie można ich utożsamiać z rzeczywistą liczbą osób, które zostaną przyjęte. Pokazują jednak skalę </w:t>
      </w:r>
      <w:r w:rsidRPr="0018770E">
        <w:rPr>
          <w:rFonts w:ascii="Calibri" w:hAnsi="Calibri" w:cs="Calibri"/>
          <w:color w:val="002060"/>
        </w:rPr>
        <w:t>potencjalnego zapotrzebowania kadrowego, nawet wykorzystanie części tych limitów oznaczałoby zaangażowanie do określonych zadań dziesiątek tysięcy osób.</w:t>
      </w:r>
    </w:p>
    <w:p w14:paraId="36784BC0" w14:textId="03670425" w:rsidR="0018770E" w:rsidRPr="0018770E" w:rsidRDefault="00553F38" w:rsidP="0018770E">
      <w:pPr>
        <w:pStyle w:val="NormalnyWeb"/>
        <w:jc w:val="both"/>
        <w:rPr>
          <w:rFonts w:ascii="Calibri" w:hAnsi="Calibri" w:cs="Calibri"/>
          <w:color w:val="002060"/>
        </w:rPr>
      </w:pPr>
      <w:r w:rsidRPr="0018770E">
        <w:rPr>
          <w:rFonts w:ascii="Calibri" w:hAnsi="Calibri" w:cs="Calibri"/>
          <w:color w:val="002060"/>
        </w:rPr>
        <w:t xml:space="preserve">Rozbudowa armii </w:t>
      </w:r>
      <w:r w:rsidR="00BE3750">
        <w:rPr>
          <w:rFonts w:ascii="Calibri" w:hAnsi="Calibri" w:cs="Calibri"/>
          <w:color w:val="002060"/>
        </w:rPr>
        <w:t>to</w:t>
      </w:r>
      <w:r w:rsidRPr="0018770E">
        <w:rPr>
          <w:rFonts w:ascii="Calibri" w:hAnsi="Calibri" w:cs="Calibri"/>
          <w:color w:val="002060"/>
        </w:rPr>
        <w:t xml:space="preserve"> także zapotrzebowanie na specjalistyczne kompetencje. W roku akademickim 2026/2027 cztery uczelnie wojskowe mogą przyjąć łącznie 2 631 kandydatów na studia dla przyszłych żołnierzy zawodowych. W</w:t>
      </w:r>
      <w:r w:rsidR="00BE3750">
        <w:rPr>
          <w:rFonts w:ascii="Calibri" w:hAnsi="Calibri" w:cs="Calibri"/>
          <w:color w:val="002060"/>
        </w:rPr>
        <w:t>ojskowa Akademia Techniczna</w:t>
      </w:r>
      <w:r w:rsidRPr="0018770E">
        <w:rPr>
          <w:rFonts w:ascii="Calibri" w:hAnsi="Calibri" w:cs="Calibri"/>
          <w:color w:val="002060"/>
        </w:rPr>
        <w:t xml:space="preserve"> </w:t>
      </w:r>
      <w:r w:rsidR="00BE3750">
        <w:rPr>
          <w:rFonts w:ascii="Calibri" w:hAnsi="Calibri" w:cs="Calibri"/>
          <w:color w:val="002060"/>
        </w:rPr>
        <w:t>na</w:t>
      </w:r>
      <w:r w:rsidRPr="0018770E">
        <w:rPr>
          <w:rFonts w:ascii="Calibri" w:hAnsi="Calibri" w:cs="Calibri"/>
          <w:color w:val="002060"/>
        </w:rPr>
        <w:t xml:space="preserve"> 1280 miejsc, Akademia Wojsk Lądowych – 969, Lotnicza Akademia Wojskowa – 213, a Akademia Marynarki Wojennej – 169.</w:t>
      </w:r>
    </w:p>
    <w:p w14:paraId="5C754519" w14:textId="77777777" w:rsidR="00D76D34" w:rsidRDefault="00CF225F" w:rsidP="0018770E">
      <w:pPr>
        <w:pStyle w:val="NormalnyWeb"/>
        <w:jc w:val="both"/>
        <w:rPr>
          <w:rFonts w:ascii="Calibri" w:hAnsi="Calibri" w:cs="Calibri"/>
          <w:color w:val="002060"/>
        </w:rPr>
      </w:pPr>
      <w:r w:rsidRPr="0018770E">
        <w:rPr>
          <w:rFonts w:ascii="Calibri" w:hAnsi="Calibri" w:cs="Calibri"/>
          <w:color w:val="002060"/>
        </w:rPr>
        <w:t xml:space="preserve">Zainteresowanie jest jednak znacznie większe. WAT odnotował niemal 30 tys. zgłoszeń na studia wojskowe i cywilne, a liczba chętnych na poszczególne kierunki wzrosła o 30–40 proc. </w:t>
      </w:r>
      <w:proofErr w:type="spellStart"/>
      <w:r w:rsidR="0018770E" w:rsidRPr="0018770E">
        <w:rPr>
          <w:rFonts w:ascii="Calibri" w:hAnsi="Calibri" w:cs="Calibri"/>
          <w:color w:val="002060"/>
        </w:rPr>
        <w:t>rdr</w:t>
      </w:r>
      <w:proofErr w:type="spellEnd"/>
      <w:r w:rsidR="0018770E" w:rsidRPr="0018770E">
        <w:rPr>
          <w:rFonts w:ascii="Calibri" w:hAnsi="Calibri" w:cs="Calibri"/>
          <w:color w:val="002060"/>
        </w:rPr>
        <w:t xml:space="preserve">. </w:t>
      </w:r>
      <w:r w:rsidRPr="0018770E">
        <w:rPr>
          <w:rFonts w:ascii="Calibri" w:hAnsi="Calibri" w:cs="Calibri"/>
          <w:color w:val="002060"/>
        </w:rPr>
        <w:t>Uczelnia przyjęła 1280 podchorążych, najwięcej w swojej historii, a kształci niemal 10 tys. studentów, w tym ok. 4,5 tys. wojskowych.</w:t>
      </w:r>
      <w:r w:rsidR="0018770E" w:rsidRPr="0018770E">
        <w:rPr>
          <w:rFonts w:ascii="Calibri" w:hAnsi="Calibri" w:cs="Calibri"/>
          <w:b/>
          <w:bCs/>
          <w:color w:val="002060"/>
        </w:rPr>
        <w:t xml:space="preserve"> </w:t>
      </w:r>
      <w:r w:rsidRPr="0018770E">
        <w:rPr>
          <w:rFonts w:ascii="Calibri" w:hAnsi="Calibri" w:cs="Calibri"/>
          <w:color w:val="002060"/>
        </w:rPr>
        <w:t>Rekordową rekrutację odnotowała także Lotnicza Akademia Wojskowa w Dęblinie, gdzie na 213 miejsc zgłosiło się ok. 1400 kandydatów. W Akademii Marynarki Wojennej</w:t>
      </w:r>
      <w:r w:rsidR="0018770E" w:rsidRPr="0018770E">
        <w:rPr>
          <w:rFonts w:ascii="Calibri" w:hAnsi="Calibri" w:cs="Calibri"/>
          <w:color w:val="002060"/>
        </w:rPr>
        <w:t xml:space="preserve"> w Gdyni</w:t>
      </w:r>
      <w:r w:rsidRPr="0018770E">
        <w:rPr>
          <w:rFonts w:ascii="Calibri" w:hAnsi="Calibri" w:cs="Calibri"/>
          <w:color w:val="002060"/>
        </w:rPr>
        <w:t xml:space="preserve"> nowy rok akademicki rozpoczęło 3,5 tys. studentów, w tym 169 osób na kierunkach wojskowych. Z kolei w</w:t>
      </w:r>
      <w:r w:rsidR="0018770E" w:rsidRPr="0018770E">
        <w:rPr>
          <w:rFonts w:ascii="Calibri" w:hAnsi="Calibri" w:cs="Calibri"/>
          <w:color w:val="002060"/>
        </w:rPr>
        <w:t>e wrocławskiej</w:t>
      </w:r>
      <w:r w:rsidRPr="0018770E">
        <w:rPr>
          <w:rFonts w:ascii="Calibri" w:hAnsi="Calibri" w:cs="Calibri"/>
          <w:color w:val="002060"/>
        </w:rPr>
        <w:t xml:space="preserve"> Akademii Wojsk Lądowych naukę rozpoczęło ok. 1000 nowych osób, a łącznie studiuje i kształci się tam ponad 6 tys. osób, w tym ponad 3 tys. podchorążych.</w:t>
      </w:r>
      <w:r w:rsidR="0018770E" w:rsidRPr="0018770E">
        <w:rPr>
          <w:rFonts w:ascii="Calibri" w:hAnsi="Calibri" w:cs="Calibri"/>
          <w:color w:val="002060"/>
        </w:rPr>
        <w:t xml:space="preserve"> </w:t>
      </w:r>
    </w:p>
    <w:p w14:paraId="261AE64D" w14:textId="3FC3FAB2" w:rsidR="00553F38" w:rsidRPr="0018770E" w:rsidRDefault="0018770E" w:rsidP="0018770E">
      <w:pPr>
        <w:pStyle w:val="NormalnyWeb"/>
        <w:jc w:val="both"/>
        <w:rPr>
          <w:rFonts w:ascii="Calibri" w:hAnsi="Calibri" w:cs="Calibri"/>
          <w:color w:val="002060"/>
        </w:rPr>
      </w:pPr>
      <w:r w:rsidRPr="0018770E">
        <w:rPr>
          <w:rFonts w:ascii="Calibri" w:hAnsi="Calibri" w:cs="Calibri"/>
          <w:color w:val="002060"/>
        </w:rPr>
        <w:t>Największym zainteresowaniem wśród oferowanych na uczelniach kierunków cieszą się m.in. kryptologia i cyberbezpieczeństwo, inżynieria bezpieczeństwa, logistyka ekonomiczna</w:t>
      </w:r>
      <w:r w:rsidR="00553F38" w:rsidRPr="0018770E">
        <w:rPr>
          <w:rFonts w:ascii="Calibri" w:hAnsi="Calibri" w:cs="Calibri"/>
          <w:color w:val="002060"/>
        </w:rPr>
        <w:t xml:space="preserve"> oraz nawigacja. Oferta edukacyjna wychodzi też poza tradycyjne kierunki wojskowe. W </w:t>
      </w:r>
      <w:r w:rsidRPr="0018770E">
        <w:rPr>
          <w:rFonts w:ascii="Calibri" w:hAnsi="Calibri" w:cs="Calibri"/>
          <w:color w:val="002060"/>
        </w:rPr>
        <w:t xml:space="preserve">tym </w:t>
      </w:r>
      <w:r w:rsidR="00553F38" w:rsidRPr="0018770E">
        <w:rPr>
          <w:rFonts w:ascii="Calibri" w:hAnsi="Calibri" w:cs="Calibri"/>
          <w:color w:val="002060"/>
        </w:rPr>
        <w:t>roku uruchomiono np. nowy kierunek „Ochrona Ludności i Obrona Cywilna”, realizowany wspólnie przez Akademię Sztuki Wojennej, Akademię Policji w Szczytnie i Akademię Pożarniczą w Warszawie. Studia przygotowują kadry do pracy m.in. w obszarze ochrony ludności, zarządzania kryzysowego i obrony cywilnej.</w:t>
      </w:r>
    </w:p>
    <w:p w14:paraId="1BE2FEBC" w14:textId="03323259" w:rsidR="00481688" w:rsidRPr="00AC7411" w:rsidRDefault="00AC7411" w:rsidP="00481688">
      <w:pPr>
        <w:pStyle w:val="NormalnyWeb"/>
        <w:jc w:val="both"/>
        <w:rPr>
          <w:rStyle w:val="Pogrubienie"/>
          <w:rFonts w:ascii="Calibri" w:hAnsi="Calibri" w:cs="Calibri"/>
          <w:b w:val="0"/>
          <w:bCs w:val="0"/>
          <w:color w:val="002060"/>
        </w:rPr>
      </w:pPr>
      <w:r w:rsidRPr="00AC7411">
        <w:rPr>
          <w:rFonts w:ascii="Calibri" w:hAnsi="Calibri" w:cs="Calibri"/>
          <w:color w:val="002060"/>
        </w:rPr>
        <w:t xml:space="preserve">– </w:t>
      </w:r>
      <w:r w:rsidRPr="00AC7411">
        <w:rPr>
          <w:rFonts w:ascii="Calibri" w:hAnsi="Calibri" w:cs="Calibri"/>
          <w:i/>
          <w:iCs/>
          <w:color w:val="002060"/>
        </w:rPr>
        <w:t xml:space="preserve">Polska zbrojeniówka przestaje być zamkniętym światem, do którego trafia się tylko z określonym wykształceniem czy doświadczeniem. Dziś drzwi do tego sektora otwierają się dla znacznie większej grupy specjalistów. Co ważne, nie chodzi tylko o to, żeby znaleźć ludzi do już </w:t>
      </w:r>
      <w:r w:rsidRPr="00AC7411">
        <w:rPr>
          <w:rFonts w:ascii="Calibri" w:hAnsi="Calibri" w:cs="Calibri"/>
          <w:i/>
          <w:iCs/>
          <w:color w:val="002060"/>
        </w:rPr>
        <w:lastRenderedPageBreak/>
        <w:t>istniejących miejsc pracy. Przy takiej skali inwestycji będą powstawały nowe stanowiska, nowe specjalizacje i nowe ścieżki wejścia do branży. Dlatego o kadry dla obronności będziemy konkurować nie tylko dziś – ta rywalizacja będzie jednym z ważnych tematów rynku pracy także w kolejnych latach</w:t>
      </w:r>
      <w:r w:rsidRPr="00AC7411">
        <w:rPr>
          <w:rFonts w:ascii="Calibri" w:hAnsi="Calibri" w:cs="Calibri"/>
          <w:color w:val="002060"/>
        </w:rPr>
        <w:t xml:space="preserve"> – </w:t>
      </w:r>
      <w:r w:rsidRPr="00AC7411">
        <w:rPr>
          <w:rFonts w:ascii="Calibri" w:hAnsi="Calibri" w:cs="Calibri"/>
          <w:b/>
          <w:bCs/>
          <w:color w:val="002060"/>
        </w:rPr>
        <w:t>podsumowuje Magda Dąbrowska, prezeska Grupy Progres.</w:t>
      </w:r>
    </w:p>
    <w:p w14:paraId="69FE8CB5" w14:textId="77777777" w:rsidR="00101D1C" w:rsidRPr="00BC7F36" w:rsidRDefault="00101D1C" w:rsidP="00101D1C">
      <w:pPr>
        <w:pStyle w:val="NormalnyWeb"/>
        <w:shd w:val="clear" w:color="auto" w:fill="FFFFFF"/>
        <w:spacing w:after="0" w:afterAutospacing="0" w:line="276" w:lineRule="auto"/>
        <w:jc w:val="both"/>
        <w:rPr>
          <w:rFonts w:ascii="Calibri" w:hAnsi="Calibri" w:cs="Calibri"/>
          <w:color w:val="002060"/>
          <w:sz w:val="18"/>
          <w:szCs w:val="18"/>
        </w:rPr>
      </w:pPr>
      <w:r w:rsidRPr="00BC7F36">
        <w:rPr>
          <w:rFonts w:ascii="Calibri" w:hAnsi="Calibri" w:cs="Calibri"/>
          <w:color w:val="002060"/>
          <w:sz w:val="18"/>
          <w:szCs w:val="18"/>
        </w:rPr>
        <w:t>***</w:t>
      </w:r>
    </w:p>
    <w:p w14:paraId="6568E89F" w14:textId="77777777" w:rsidR="00101D1C" w:rsidRPr="00BC7F36" w:rsidRDefault="00101D1C" w:rsidP="00101D1C">
      <w:pPr>
        <w:pStyle w:val="NormalnyWeb"/>
        <w:shd w:val="clear" w:color="auto" w:fill="FFFFFF"/>
        <w:jc w:val="both"/>
        <w:rPr>
          <w:rFonts w:ascii="Calibri" w:hAnsi="Calibri" w:cs="Calibri"/>
          <w:color w:val="002060"/>
          <w:sz w:val="18"/>
          <w:szCs w:val="18"/>
          <w:shd w:val="clear" w:color="auto" w:fill="FFFFFF"/>
        </w:rPr>
      </w:pPr>
      <w:r w:rsidRPr="0058404D">
        <w:rPr>
          <w:rFonts w:ascii="Calibri" w:hAnsi="Calibri" w:cs="Calibri"/>
          <w:b/>
          <w:bCs/>
          <w:color w:val="002060"/>
          <w:sz w:val="18"/>
          <w:szCs w:val="18"/>
          <w:shd w:val="clear" w:color="auto" w:fill="FFFFFF"/>
        </w:rPr>
        <w:t>Holding Grupy Progres</w:t>
      </w:r>
      <w:r w:rsidRPr="00BC7F36">
        <w:rPr>
          <w:rFonts w:ascii="Calibri" w:hAnsi="Calibri" w:cs="Calibri"/>
          <w:color w:val="002060"/>
          <w:sz w:val="18"/>
          <w:szCs w:val="18"/>
          <w:shd w:val="clear" w:color="auto" w:fill="FFFFFF"/>
        </w:rPr>
        <w:t xml:space="preserve"> jest jedną z największych agencji HR wśród firm z branży posiadających 100 proc. polskiego kapitału i działających na terenie całego kraju. W jej skład wchodzą spółki, z których najstarsza na rynku funkcjonuje od 2002 r. Grupa wspiera przedsiębiorstwa w całej Polsce w zakresie pracy tymczasowej (Progres HR), doradztwa biznesowego i szkoleń (Progres Consulting), rekrutacji stałych (Progres Permanent Recruitment), a także optymalizacji procesów (Progres Advanced Solutions). Rocznie zatrudnia niemal 20 tysięcy pracowników i realizuje 1,5 tysiąca projektów rekrutacyjnych. Posiada kilkadziesiąt oddziałów w Polsce i za granicą. Organizacja była wielokrotnie nagradzana w prestiżowych konkursach, plebiscytach i rankingach m.in. Deloitte – Best Managed Companies Poland 2025, Diamenty Forbesa (2025 r. – laureat), Ambasador Polskiej Gospodarki BCC (2025 r.), Gazele Biznesu (2024 r. – laureat), Medal Europejski (2024 r.), Lider Polskiego Biznesu (2025 r. i 2026 r.). </w:t>
      </w:r>
      <w:r w:rsidRPr="00BC7F36">
        <w:rPr>
          <w:rFonts w:ascii="Calibri" w:hAnsi="Calibri" w:cs="Calibri"/>
          <w:color w:val="002060"/>
          <w:sz w:val="18"/>
          <w:szCs w:val="18"/>
        </w:rPr>
        <w:t>Trzy spółki działające w ramach Holdingu (Grupa Progres, Progres Advanced Solutions i Progres HR Poland) znalazły się w rankingu Gazele Biznesu 2025, wyróżniającym najszybciej rozwijające się firmy z sektora MŚP w Polsce. Organizacja jest też laureatem konkursu „Firma Dobrze Widziana” (2025 r.), członkiem Konfederacji Lewiatan (od 2026 r.) oraz sygnatariuszem Karty Różnorodności (Forum Odpowiedzialnego Biznesu). Posiada również certyfikat Równości Płac przyznawany przez Business Center Club.</w:t>
      </w:r>
    </w:p>
    <w:p w14:paraId="04B1190C" w14:textId="77777777" w:rsidR="00101D1C" w:rsidRPr="00F84C29" w:rsidRDefault="00101D1C" w:rsidP="00101D1C">
      <w:pPr>
        <w:pStyle w:val="NormalnyWeb"/>
        <w:shd w:val="clear" w:color="auto" w:fill="FFFFFF"/>
        <w:spacing w:after="0" w:afterAutospacing="0"/>
        <w:jc w:val="both"/>
        <w:rPr>
          <w:rFonts w:ascii="Calibri" w:hAnsi="Calibri" w:cs="Calibri"/>
          <w:color w:val="002060"/>
        </w:rPr>
      </w:pPr>
      <w:r w:rsidRPr="00F84C29">
        <w:rPr>
          <w:rFonts w:ascii="Calibri" w:hAnsi="Calibri" w:cs="Calibri"/>
          <w:color w:val="002060"/>
        </w:rPr>
        <w:t>***</w:t>
      </w:r>
    </w:p>
    <w:p w14:paraId="191A8973" w14:textId="77777777" w:rsidR="00101D1C" w:rsidRPr="00F84C29" w:rsidRDefault="00101D1C" w:rsidP="00101D1C">
      <w:pPr>
        <w:pStyle w:val="NormalnyWeb"/>
        <w:shd w:val="clear" w:color="auto" w:fill="FFFFFF"/>
        <w:spacing w:before="0" w:beforeAutospacing="0" w:after="0" w:afterAutospacing="0"/>
        <w:jc w:val="both"/>
        <w:rPr>
          <w:rFonts w:ascii="Calibri" w:hAnsi="Calibri" w:cs="Calibri"/>
          <w:b/>
          <w:bCs/>
          <w:color w:val="002060"/>
        </w:rPr>
      </w:pPr>
      <w:r w:rsidRPr="00F84C29">
        <w:rPr>
          <w:rFonts w:ascii="Calibri" w:hAnsi="Calibri" w:cs="Calibri"/>
          <w:b/>
          <w:bCs/>
          <w:color w:val="002060"/>
        </w:rPr>
        <w:t xml:space="preserve">Biuro prasowe Grupy Progres: </w:t>
      </w:r>
    </w:p>
    <w:p w14:paraId="2A17BB13" w14:textId="77777777" w:rsidR="00101D1C" w:rsidRPr="00F84C29" w:rsidRDefault="00101D1C" w:rsidP="00101D1C">
      <w:pPr>
        <w:pStyle w:val="NormalnyWeb"/>
        <w:shd w:val="clear" w:color="auto" w:fill="FFFFFF"/>
        <w:spacing w:before="0" w:beforeAutospacing="0" w:after="0" w:afterAutospacing="0"/>
        <w:jc w:val="both"/>
        <w:rPr>
          <w:rFonts w:ascii="Calibri" w:hAnsi="Calibri" w:cs="Calibri"/>
          <w:color w:val="002060"/>
        </w:rPr>
      </w:pPr>
      <w:r w:rsidRPr="00F84C29">
        <w:rPr>
          <w:rFonts w:ascii="Calibri" w:hAnsi="Calibri" w:cs="Calibri"/>
          <w:color w:val="002060"/>
        </w:rPr>
        <w:t>Kamila Tyniec</w:t>
      </w:r>
    </w:p>
    <w:p w14:paraId="6B708784" w14:textId="77777777" w:rsidR="00101D1C" w:rsidRPr="00F84C29" w:rsidRDefault="00101D1C" w:rsidP="00101D1C">
      <w:pPr>
        <w:pStyle w:val="NormalnyWeb"/>
        <w:shd w:val="clear" w:color="auto" w:fill="FFFFFF"/>
        <w:spacing w:before="0" w:beforeAutospacing="0" w:after="0" w:afterAutospacing="0"/>
        <w:jc w:val="both"/>
        <w:rPr>
          <w:rFonts w:ascii="Calibri" w:hAnsi="Calibri" w:cs="Calibri"/>
          <w:color w:val="002060"/>
        </w:rPr>
      </w:pPr>
      <w:r w:rsidRPr="00F84C29">
        <w:rPr>
          <w:rFonts w:ascii="Calibri" w:hAnsi="Calibri" w:cs="Calibri"/>
          <w:color w:val="002060"/>
        </w:rPr>
        <w:t xml:space="preserve">e-mail: </w:t>
      </w:r>
      <w:hyperlink r:id="rId8" w:history="1">
        <w:r w:rsidRPr="00F84C29">
          <w:rPr>
            <w:rStyle w:val="Hipercze"/>
            <w:rFonts w:ascii="Calibri" w:hAnsi="Calibri" w:cs="Calibri"/>
            <w:color w:val="002060"/>
          </w:rPr>
          <w:t>k.tyniec@bepr.pl</w:t>
        </w:r>
      </w:hyperlink>
      <w:r w:rsidRPr="00F84C29">
        <w:rPr>
          <w:rFonts w:ascii="Calibri" w:hAnsi="Calibri" w:cs="Calibri"/>
          <w:color w:val="002060"/>
        </w:rPr>
        <w:t xml:space="preserve">  lub kom. +48 500 690</w:t>
      </w:r>
      <w:r>
        <w:rPr>
          <w:rFonts w:ascii="Calibri" w:hAnsi="Calibri" w:cs="Calibri"/>
          <w:color w:val="002060"/>
        </w:rPr>
        <w:t> </w:t>
      </w:r>
      <w:r w:rsidRPr="00F84C29">
        <w:rPr>
          <w:rFonts w:ascii="Calibri" w:hAnsi="Calibri" w:cs="Calibri"/>
          <w:color w:val="002060"/>
        </w:rPr>
        <w:t>965</w:t>
      </w:r>
    </w:p>
    <w:p w14:paraId="570BB4F5" w14:textId="77777777" w:rsidR="004147EA" w:rsidRDefault="004147EA" w:rsidP="004147EA">
      <w:pPr>
        <w:jc w:val="both"/>
        <w:rPr>
          <w:color w:val="171717" w:themeColor="background2" w:themeShade="1A"/>
          <w:sz w:val="24"/>
        </w:rPr>
      </w:pPr>
    </w:p>
    <w:p w14:paraId="772A0B52" w14:textId="77777777" w:rsidR="004147EA" w:rsidRDefault="004147EA" w:rsidP="004147EA">
      <w:pPr>
        <w:jc w:val="both"/>
        <w:rPr>
          <w:color w:val="171717" w:themeColor="background2" w:themeShade="1A"/>
          <w:sz w:val="24"/>
        </w:rPr>
      </w:pPr>
    </w:p>
    <w:p w14:paraId="23012D58" w14:textId="77777777" w:rsidR="00DF5583" w:rsidRPr="00BE55F3" w:rsidRDefault="00DF5583" w:rsidP="004147EA">
      <w:pPr>
        <w:rPr>
          <w:color w:val="171717" w:themeColor="background2" w:themeShade="1A"/>
        </w:rPr>
      </w:pPr>
    </w:p>
    <w:sectPr w:rsidR="00DF5583" w:rsidRPr="00BE55F3" w:rsidSect="004147EA">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985" w:left="1418" w:header="709" w:footer="11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39B3FF" w14:textId="77777777" w:rsidR="00165696" w:rsidRDefault="00165696" w:rsidP="00B332FF">
      <w:r>
        <w:separator/>
      </w:r>
    </w:p>
  </w:endnote>
  <w:endnote w:type="continuationSeparator" w:id="0">
    <w:p w14:paraId="24A5D350" w14:textId="77777777" w:rsidR="00165696" w:rsidRDefault="00165696" w:rsidP="00B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20B0604020202020204"/>
    <w:charset w:val="00"/>
    <w:family w:val="swiss"/>
    <w:notTrueType/>
    <w:pitch w:val="default"/>
    <w:sig w:usb0="00000003" w:usb1="00000000" w:usb2="00000000" w:usb3="00000000" w:csb0="00000001" w:csb1="00000000"/>
  </w:font>
  <w:font w:name="Poppins Light">
    <w:panose1 w:val="00000400000000000000"/>
    <w:charset w:val="00"/>
    <w:family w:val="auto"/>
    <w:pitch w:val="variable"/>
    <w:sig w:usb0="00008007" w:usb1="00000000" w:usb2="00000000" w:usb3="00000000" w:csb0="00000093"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6B99C" w14:textId="77777777" w:rsidR="0099390E" w:rsidRDefault="0099390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9B7B7E" w14:textId="77777777" w:rsidR="00B332FF" w:rsidRDefault="002D41A7" w:rsidP="00A92ED7">
    <w:pPr>
      <w:pStyle w:val="Stopka"/>
    </w:pPr>
    <w:r>
      <w:rPr>
        <w:noProof/>
        <w:lang w:eastAsia="pl-PL"/>
      </w:rPr>
      <mc:AlternateContent>
        <mc:Choice Requires="wps">
          <w:drawing>
            <wp:anchor distT="0" distB="0" distL="114300" distR="114300" simplePos="0" relativeHeight="251671552" behindDoc="0" locked="0" layoutInCell="1" allowOverlap="1" wp14:anchorId="0DA818E4" wp14:editId="04CFA931">
              <wp:simplePos x="0" y="0"/>
              <wp:positionH relativeFrom="margin">
                <wp:posOffset>-170815</wp:posOffset>
              </wp:positionH>
              <wp:positionV relativeFrom="paragraph">
                <wp:posOffset>10160</wp:posOffset>
              </wp:positionV>
              <wp:extent cx="6007735" cy="1905"/>
              <wp:effectExtent l="0" t="0" r="31115" b="36195"/>
              <wp:wrapNone/>
              <wp:docPr id="2143017058" name="Łącznik prosty 7"/>
              <wp:cNvGraphicFramePr/>
              <a:graphic xmlns:a="http://schemas.openxmlformats.org/drawingml/2006/main">
                <a:graphicData uri="http://schemas.microsoft.com/office/word/2010/wordprocessingShape">
                  <wps:wsp>
                    <wps:cNvCnPr/>
                    <wps:spPr>
                      <a:xfrm flipV="1">
                        <a:off x="0" y="0"/>
                        <a:ext cx="6007735" cy="1905"/>
                      </a:xfrm>
                      <a:prstGeom prst="line">
                        <a:avLst/>
                      </a:prstGeom>
                      <a:ln>
                        <a:solidFill>
                          <a:srgbClr val="92939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0C9BE" id="Łącznik prosty 7"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45pt,.8pt" to="459.6pt,.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" strokecolor="#929392" strokeweight=".5pt">
              <v:stroke joinstyle="miter"/>
              <w10:wrap anchorx="margin"/>
            </v:line>
          </w:pict>
        </mc:Fallback>
      </mc:AlternateContent>
    </w:r>
    <w:r w:rsidR="00114274">
      <w:rPr>
        <w:noProof/>
        <w:lang w:eastAsia="pl-PL"/>
      </w:rPr>
      <mc:AlternateContent>
        <mc:Choice Requires="wps">
          <w:drawing>
            <wp:anchor distT="45720" distB="45720" distL="114300" distR="114300" simplePos="0" relativeHeight="251664384" behindDoc="1" locked="0" layoutInCell="1" allowOverlap="1" wp14:anchorId="2D9A5F6B" wp14:editId="164B6291">
              <wp:simplePos x="0" y="0"/>
              <wp:positionH relativeFrom="margin">
                <wp:posOffset>-116205</wp:posOffset>
              </wp:positionH>
              <wp:positionV relativeFrom="paragraph">
                <wp:posOffset>121285</wp:posOffset>
              </wp:positionV>
              <wp:extent cx="2858135" cy="471170"/>
              <wp:effectExtent l="0" t="0" r="0" b="5080"/>
              <wp:wrapNone/>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135" cy="471170"/>
                      </a:xfrm>
                      <a:prstGeom prst="rect">
                        <a:avLst/>
                      </a:prstGeom>
                      <a:noFill/>
                      <a:ln w="9525">
                        <a:noFill/>
                        <a:miter lim="800000"/>
                        <a:headEnd/>
                        <a:tailEnd/>
                      </a:ln>
                    </wps:spPr>
                    <wps:txbx>
                      <w:txbxContent>
                        <w:p w14:paraId="7F993FA3" w14:textId="77777777" w:rsidR="007637A8" w:rsidRPr="007637A8" w:rsidRDefault="00AE1D92" w:rsidP="007637A8">
                          <w:pPr>
                            <w:rPr>
                              <w:rFonts w:ascii="Poppins Light" w:hAnsi="Poppins Light" w:cs="Poppins Light"/>
                              <w:color w:val="767171" w:themeColor="background2" w:themeShade="80"/>
                              <w:sz w:val="14"/>
                              <w:szCs w:val="14"/>
                              <w:lang w:eastAsia="pl-PL"/>
                            </w:rPr>
                          </w:pPr>
                          <w:r w:rsidRPr="00AE1D92">
                            <w:rPr>
                              <w:rFonts w:ascii="Poppins Light" w:hAnsi="Poppins Light" w:cs="Poppins Light"/>
                              <w:color w:val="767171" w:themeColor="background2" w:themeShade="80"/>
                              <w:sz w:val="14"/>
                              <w:szCs w:val="14"/>
                              <w:lang w:eastAsia="pl-PL"/>
                            </w:rPr>
                            <w:t>Grupa Progres Sp. z o.o.</w:t>
                          </w:r>
                          <w:r w:rsidR="0099390E">
                            <w:rPr>
                              <w:rFonts w:ascii="Poppins Light" w:hAnsi="Poppins Light" w:cs="Poppins Light"/>
                              <w:color w:val="767171" w:themeColor="background2" w:themeShade="80"/>
                              <w:sz w:val="14"/>
                              <w:szCs w:val="14"/>
                              <w:lang w:eastAsia="pl-PL"/>
                            </w:rPr>
                            <w:br/>
                          </w:r>
                          <w:r w:rsidR="007637A8" w:rsidRPr="007637A8">
                            <w:rPr>
                              <w:rFonts w:ascii="Poppins Light" w:hAnsi="Poppins Light" w:cs="Poppins Light"/>
                              <w:color w:val="767171" w:themeColor="background2" w:themeShade="80"/>
                              <w:sz w:val="14"/>
                              <w:szCs w:val="14"/>
                              <w:lang w:eastAsia="pl-PL"/>
                            </w:rPr>
                            <w:t>Adres Al. Grunwaldzka 411, 80-309 Gdańsk,</w:t>
                          </w:r>
                        </w:p>
                        <w:p w14:paraId="352B3CC9" w14:textId="77777777" w:rsidR="009C71E6" w:rsidRPr="001D6D0E" w:rsidRDefault="00AE1D92" w:rsidP="00AE1D92">
                          <w:pPr>
                            <w:rPr>
                              <w:rFonts w:ascii="Poppins Light" w:hAnsi="Poppins Light" w:cs="Poppins Light"/>
                              <w:b/>
                              <w:bCs/>
                              <w:color w:val="767171" w:themeColor="background2" w:themeShade="80"/>
                              <w:sz w:val="14"/>
                              <w:szCs w:val="14"/>
                            </w:rPr>
                          </w:pPr>
                          <w:r w:rsidRPr="00AE1D92">
                            <w:rPr>
                              <w:rFonts w:ascii="Poppins Light" w:hAnsi="Poppins Light" w:cs="Poppins Light"/>
                              <w:color w:val="767171" w:themeColor="background2" w:themeShade="80"/>
                              <w:sz w:val="14"/>
                              <w:szCs w:val="14"/>
                              <w:lang w:eastAsia="pl-PL"/>
                            </w:rPr>
                            <w:t>NIP</w:t>
                          </w:r>
                          <w:r>
                            <w:rPr>
                              <w:rFonts w:ascii="Poppins Light" w:hAnsi="Poppins Light" w:cs="Poppins Light"/>
                              <w:color w:val="767171" w:themeColor="background2" w:themeShade="80"/>
                              <w:sz w:val="14"/>
                              <w:szCs w:val="14"/>
                              <w:lang w:eastAsia="pl-PL"/>
                            </w:rPr>
                            <w:t xml:space="preserve"> </w:t>
                          </w:r>
                          <w:r w:rsidRPr="00AE1D92">
                            <w:rPr>
                              <w:rFonts w:ascii="Poppins Light" w:hAnsi="Poppins Light" w:cs="Poppins Light"/>
                              <w:color w:val="767171" w:themeColor="background2" w:themeShade="80"/>
                              <w:sz w:val="14"/>
                              <w:szCs w:val="14"/>
                              <w:lang w:eastAsia="pl-PL"/>
                            </w:rPr>
                            <w:t>5842739004</w:t>
                          </w:r>
                          <w:r>
                            <w:rPr>
                              <w:rFonts w:ascii="Poppins Light" w:hAnsi="Poppins Light" w:cs="Poppins Light"/>
                              <w:color w:val="767171" w:themeColor="background2" w:themeShade="80"/>
                              <w:sz w:val="14"/>
                              <w:szCs w:val="14"/>
                              <w:lang w:eastAsia="pl-PL"/>
                            </w:rPr>
                            <w:t>,</w:t>
                          </w:r>
                          <w:r w:rsidRPr="00AE1D92">
                            <w:rPr>
                              <w:rFonts w:ascii="Poppins Light" w:hAnsi="Poppins Light" w:cs="Poppins Light"/>
                              <w:color w:val="767171" w:themeColor="background2" w:themeShade="80"/>
                              <w:sz w:val="14"/>
                              <w:szCs w:val="14"/>
                              <w:lang w:eastAsia="pl-PL"/>
                            </w:rPr>
                            <w:t xml:space="preserve"> REGON 360182321</w:t>
                          </w:r>
                          <w:r w:rsidR="000E1AAA">
                            <w:rPr>
                              <w:rFonts w:ascii="Poppins Light" w:hAnsi="Poppins Light" w:cs="Poppins Light"/>
                              <w:color w:val="767171" w:themeColor="background2" w:themeShade="80"/>
                              <w:sz w:val="14"/>
                              <w:szCs w:val="14"/>
                              <w:lang w:eastAsia="pl-PL"/>
                            </w:rPr>
                            <w:t xml:space="preserve">, </w:t>
                          </w:r>
                          <w:r w:rsidR="000E1AAA" w:rsidRPr="000E1AAA">
                            <w:rPr>
                              <w:rFonts w:ascii="Poppins Light" w:hAnsi="Poppins Light" w:cs="Poppins Light"/>
                              <w:color w:val="767171" w:themeColor="background2" w:themeShade="80"/>
                              <w:sz w:val="14"/>
                              <w:szCs w:val="14"/>
                              <w:lang w:eastAsia="pl-PL"/>
                            </w:rPr>
                            <w:t>KRS 0000532455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9A5F6B" id="_x0000_t202" coordsize="21600,21600" o:spt="202" path="m,l,21600r21600,l21600,xe">
              <v:stroke joinstyle="miter"/>
              <v:path gradientshapeok="t" o:connecttype="rect"/>
            </v:shapetype>
            <v:shape id="Pole tekstowe 2" o:spid="_x0000_s1026" type="#_x0000_t202" style="position:absolute;margin-left:-9.15pt;margin-top:9.55pt;width:225.05pt;height:37.1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" filled="f" stroked="f">
              <v:textbox>
                <w:txbxContent>
                  <w:p w14:paraId="7F993FA3" w14:textId="77777777" w:rsidR="007637A8" w:rsidRPr="007637A8" w:rsidRDefault="00AE1D92" w:rsidP="007637A8">
                    <w:pPr>
                      <w:rPr>
                        <w:rFonts w:ascii="Poppins Light" w:hAnsi="Poppins Light" w:cs="Poppins Light"/>
                        <w:color w:val="767171" w:themeColor="background2" w:themeShade="80"/>
                        <w:sz w:val="14"/>
                        <w:szCs w:val="14"/>
                        <w:lang w:eastAsia="pl-PL"/>
                      </w:rPr>
                    </w:pPr>
                    <w:r w:rsidRPr="00AE1D92">
                      <w:rPr>
                        <w:rFonts w:ascii="Poppins Light" w:hAnsi="Poppins Light" w:cs="Poppins Light"/>
                        <w:color w:val="767171" w:themeColor="background2" w:themeShade="80"/>
                        <w:sz w:val="14"/>
                        <w:szCs w:val="14"/>
                        <w:lang w:eastAsia="pl-PL"/>
                      </w:rPr>
                      <w:t>Grupa Progres Sp. z o.o.</w:t>
                    </w:r>
                    <w:r w:rsidR="0099390E">
                      <w:rPr>
                        <w:rFonts w:ascii="Poppins Light" w:hAnsi="Poppins Light" w:cs="Poppins Light"/>
                        <w:color w:val="767171" w:themeColor="background2" w:themeShade="80"/>
                        <w:sz w:val="14"/>
                        <w:szCs w:val="14"/>
                        <w:lang w:eastAsia="pl-PL"/>
                      </w:rPr>
                      <w:br/>
                    </w:r>
                    <w:r w:rsidR="007637A8" w:rsidRPr="007637A8">
                      <w:rPr>
                        <w:rFonts w:ascii="Poppins Light" w:hAnsi="Poppins Light" w:cs="Poppins Light"/>
                        <w:color w:val="767171" w:themeColor="background2" w:themeShade="80"/>
                        <w:sz w:val="14"/>
                        <w:szCs w:val="14"/>
                        <w:lang w:eastAsia="pl-PL"/>
                      </w:rPr>
                      <w:t>Adres Al. Grunwaldzka 411, 80-309 Gdańsk,</w:t>
                    </w:r>
                  </w:p>
                  <w:p w14:paraId="352B3CC9" w14:textId="77777777" w:rsidR="009C71E6" w:rsidRPr="001D6D0E" w:rsidRDefault="00AE1D92" w:rsidP="00AE1D92">
                    <w:pPr>
                      <w:rPr>
                        <w:rFonts w:ascii="Poppins Light" w:hAnsi="Poppins Light" w:cs="Poppins Light"/>
                        <w:b/>
                        <w:bCs/>
                        <w:color w:val="767171" w:themeColor="background2" w:themeShade="80"/>
                        <w:sz w:val="14"/>
                        <w:szCs w:val="14"/>
                      </w:rPr>
                    </w:pPr>
                    <w:r w:rsidRPr="00AE1D92">
                      <w:rPr>
                        <w:rFonts w:ascii="Poppins Light" w:hAnsi="Poppins Light" w:cs="Poppins Light"/>
                        <w:color w:val="767171" w:themeColor="background2" w:themeShade="80"/>
                        <w:sz w:val="14"/>
                        <w:szCs w:val="14"/>
                        <w:lang w:eastAsia="pl-PL"/>
                      </w:rPr>
                      <w:t>NIP</w:t>
                    </w:r>
                    <w:r>
                      <w:rPr>
                        <w:rFonts w:ascii="Poppins Light" w:hAnsi="Poppins Light" w:cs="Poppins Light"/>
                        <w:color w:val="767171" w:themeColor="background2" w:themeShade="80"/>
                        <w:sz w:val="14"/>
                        <w:szCs w:val="14"/>
                        <w:lang w:eastAsia="pl-PL"/>
                      </w:rPr>
                      <w:t xml:space="preserve"> </w:t>
                    </w:r>
                    <w:r w:rsidRPr="00AE1D92">
                      <w:rPr>
                        <w:rFonts w:ascii="Poppins Light" w:hAnsi="Poppins Light" w:cs="Poppins Light"/>
                        <w:color w:val="767171" w:themeColor="background2" w:themeShade="80"/>
                        <w:sz w:val="14"/>
                        <w:szCs w:val="14"/>
                        <w:lang w:eastAsia="pl-PL"/>
                      </w:rPr>
                      <w:t>5842739004</w:t>
                    </w:r>
                    <w:r>
                      <w:rPr>
                        <w:rFonts w:ascii="Poppins Light" w:hAnsi="Poppins Light" w:cs="Poppins Light"/>
                        <w:color w:val="767171" w:themeColor="background2" w:themeShade="80"/>
                        <w:sz w:val="14"/>
                        <w:szCs w:val="14"/>
                        <w:lang w:eastAsia="pl-PL"/>
                      </w:rPr>
                      <w:t>,</w:t>
                    </w:r>
                    <w:r w:rsidRPr="00AE1D92">
                      <w:rPr>
                        <w:rFonts w:ascii="Poppins Light" w:hAnsi="Poppins Light" w:cs="Poppins Light"/>
                        <w:color w:val="767171" w:themeColor="background2" w:themeShade="80"/>
                        <w:sz w:val="14"/>
                        <w:szCs w:val="14"/>
                        <w:lang w:eastAsia="pl-PL"/>
                      </w:rPr>
                      <w:t xml:space="preserve"> REGON 360182321</w:t>
                    </w:r>
                    <w:r w:rsidR="000E1AAA">
                      <w:rPr>
                        <w:rFonts w:ascii="Poppins Light" w:hAnsi="Poppins Light" w:cs="Poppins Light"/>
                        <w:color w:val="767171" w:themeColor="background2" w:themeShade="80"/>
                        <w:sz w:val="14"/>
                        <w:szCs w:val="14"/>
                        <w:lang w:eastAsia="pl-PL"/>
                      </w:rPr>
                      <w:t xml:space="preserve">, </w:t>
                    </w:r>
                    <w:r w:rsidR="000E1AAA" w:rsidRPr="000E1AAA">
                      <w:rPr>
                        <w:rFonts w:ascii="Poppins Light" w:hAnsi="Poppins Light" w:cs="Poppins Light"/>
                        <w:color w:val="767171" w:themeColor="background2" w:themeShade="80"/>
                        <w:sz w:val="14"/>
                        <w:szCs w:val="14"/>
                        <w:lang w:eastAsia="pl-PL"/>
                      </w:rPr>
                      <w:t>KRS 0000532455</w:t>
                    </w:r>
                  </w:p>
                </w:txbxContent>
              </v:textbox>
              <w10:wrap anchorx="margin"/>
            </v:shape>
          </w:pict>
        </mc:Fallback>
      </mc:AlternateContent>
    </w:r>
    <w:r w:rsidR="00114274">
      <w:rPr>
        <w:noProof/>
        <w:lang w:eastAsia="pl-PL"/>
      </w:rPr>
      <mc:AlternateContent>
        <mc:Choice Requires="wps">
          <w:drawing>
            <wp:anchor distT="45720" distB="45720" distL="114300" distR="114300" simplePos="0" relativeHeight="251670528" behindDoc="1" locked="0" layoutInCell="1" allowOverlap="1" wp14:anchorId="65110E38" wp14:editId="5A5B675D">
              <wp:simplePos x="0" y="0"/>
              <wp:positionH relativeFrom="margin">
                <wp:posOffset>3012440</wp:posOffset>
              </wp:positionH>
              <wp:positionV relativeFrom="paragraph">
                <wp:posOffset>122311</wp:posOffset>
              </wp:positionV>
              <wp:extent cx="2858135" cy="550545"/>
              <wp:effectExtent l="0" t="0" r="0" b="1905"/>
              <wp:wrapNone/>
              <wp:docPr id="77841157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135" cy="550545"/>
                      </a:xfrm>
                      <a:prstGeom prst="rect">
                        <a:avLst/>
                      </a:prstGeom>
                      <a:noFill/>
                      <a:ln w="9525">
                        <a:noFill/>
                        <a:miter lim="800000"/>
                        <a:headEnd/>
                        <a:tailEnd/>
                      </a:ln>
                    </wps:spPr>
                    <wps:txbx>
                      <w:txbxContent>
                        <w:p w14:paraId="49FD3067" w14:textId="77777777" w:rsidR="007637A8" w:rsidRPr="007637A8" w:rsidRDefault="007637A8" w:rsidP="007637A8">
                          <w:pPr>
                            <w:jc w:val="right"/>
                            <w:rPr>
                              <w:rFonts w:ascii="Poppins Light" w:hAnsi="Poppins Light" w:cs="Poppins Light"/>
                              <w:color w:val="767171" w:themeColor="background2" w:themeShade="80"/>
                              <w:sz w:val="14"/>
                              <w:szCs w:val="14"/>
                              <w:lang w:eastAsia="pl-PL"/>
                            </w:rPr>
                          </w:pPr>
                          <w:r w:rsidRPr="007637A8">
                            <w:rPr>
                              <w:rFonts w:ascii="Poppins Light" w:hAnsi="Poppins Light" w:cs="Poppins Light"/>
                              <w:color w:val="767171" w:themeColor="background2" w:themeShade="80"/>
                              <w:sz w:val="14"/>
                              <w:szCs w:val="14"/>
                              <w:lang w:eastAsia="pl-PL"/>
                            </w:rPr>
                            <w:t>+48 58 511 05 50</w:t>
                          </w:r>
                        </w:p>
                        <w:p w14:paraId="1136BA76" w14:textId="77777777" w:rsidR="007637A8" w:rsidRPr="007637A8" w:rsidRDefault="007637A8" w:rsidP="007637A8">
                          <w:pPr>
                            <w:jc w:val="right"/>
                            <w:rPr>
                              <w:rFonts w:ascii="Poppins Light" w:hAnsi="Poppins Light" w:cs="Poppins Light"/>
                              <w:color w:val="767171" w:themeColor="background2" w:themeShade="80"/>
                              <w:sz w:val="14"/>
                              <w:szCs w:val="14"/>
                              <w:lang w:eastAsia="pl-PL"/>
                            </w:rPr>
                          </w:pPr>
                          <w:r w:rsidRPr="007637A8">
                            <w:rPr>
                              <w:rFonts w:ascii="Poppins Light" w:hAnsi="Poppins Light" w:cs="Poppins Light"/>
                              <w:color w:val="767171" w:themeColor="background2" w:themeShade="80"/>
                              <w:sz w:val="14"/>
                              <w:szCs w:val="14"/>
                              <w:lang w:eastAsia="pl-PL"/>
                            </w:rPr>
                            <w:t>kontakt@grupaprogres.pl</w:t>
                          </w:r>
                        </w:p>
                        <w:p w14:paraId="7B9BE893"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lang w:eastAsia="pl-PL"/>
                            </w:rPr>
                            <w:t>www.grupaprogres.pl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10E38" id="_x0000_s1027" type="#_x0000_t202" style="position:absolute;margin-left:237.2pt;margin-top:9.65pt;width:225.05pt;height:43.35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" filled="f" stroked="f">
              <v:textbox>
                <w:txbxContent>
                  <w:p w14:paraId="49FD3067" w14:textId="77777777" w:rsidR="007637A8" w:rsidRPr="007637A8" w:rsidRDefault="007637A8" w:rsidP="007637A8">
                    <w:pPr>
                      <w:jc w:val="right"/>
                      <w:rPr>
                        <w:rFonts w:ascii="Poppins Light" w:hAnsi="Poppins Light" w:cs="Poppins Light"/>
                        <w:color w:val="767171" w:themeColor="background2" w:themeShade="80"/>
                        <w:sz w:val="14"/>
                        <w:szCs w:val="14"/>
                        <w:lang w:eastAsia="pl-PL"/>
                      </w:rPr>
                    </w:pPr>
                    <w:r w:rsidRPr="007637A8">
                      <w:rPr>
                        <w:rFonts w:ascii="Poppins Light" w:hAnsi="Poppins Light" w:cs="Poppins Light"/>
                        <w:color w:val="767171" w:themeColor="background2" w:themeShade="80"/>
                        <w:sz w:val="14"/>
                        <w:szCs w:val="14"/>
                        <w:lang w:eastAsia="pl-PL"/>
                      </w:rPr>
                      <w:t>+48 58 511 05 50</w:t>
                    </w:r>
                  </w:p>
                  <w:p w14:paraId="1136BA76" w14:textId="77777777" w:rsidR="007637A8" w:rsidRPr="007637A8" w:rsidRDefault="007637A8" w:rsidP="007637A8">
                    <w:pPr>
                      <w:jc w:val="right"/>
                      <w:rPr>
                        <w:rFonts w:ascii="Poppins Light" w:hAnsi="Poppins Light" w:cs="Poppins Light"/>
                        <w:color w:val="767171" w:themeColor="background2" w:themeShade="80"/>
                        <w:sz w:val="14"/>
                        <w:szCs w:val="14"/>
                        <w:lang w:eastAsia="pl-PL"/>
                      </w:rPr>
                    </w:pPr>
                    <w:r w:rsidRPr="007637A8">
                      <w:rPr>
                        <w:rFonts w:ascii="Poppins Light" w:hAnsi="Poppins Light" w:cs="Poppins Light"/>
                        <w:color w:val="767171" w:themeColor="background2" w:themeShade="80"/>
                        <w:sz w:val="14"/>
                        <w:szCs w:val="14"/>
                        <w:lang w:eastAsia="pl-PL"/>
                      </w:rPr>
                      <w:t>kontakt@grupaprogres.pl</w:t>
                    </w:r>
                  </w:p>
                  <w:p w14:paraId="7B9BE893" w14:textId="77777777" w:rsidR="007637A8" w:rsidRPr="007637A8" w:rsidRDefault="007637A8" w:rsidP="007637A8">
                    <w:pPr>
                      <w:jc w:val="right"/>
                      <w:rPr>
                        <w:rFonts w:ascii="Poppins Light" w:hAnsi="Poppins Light" w:cs="Poppins Light"/>
                        <w:color w:val="767171" w:themeColor="background2" w:themeShade="80"/>
                        <w:sz w:val="14"/>
                        <w:szCs w:val="14"/>
                      </w:rPr>
                    </w:pPr>
                    <w:r w:rsidRPr="007637A8">
                      <w:rPr>
                        <w:rFonts w:ascii="Poppins Light" w:hAnsi="Poppins Light" w:cs="Poppins Light"/>
                        <w:color w:val="767171" w:themeColor="background2" w:themeShade="80"/>
                        <w:sz w:val="14"/>
                        <w:szCs w:val="14"/>
                        <w:lang w:eastAsia="pl-PL"/>
                      </w:rPr>
                      <w:t>www.grupaprogres.pl</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E229F0" w14:textId="77777777" w:rsidR="0099390E" w:rsidRDefault="009939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13C702" w14:textId="77777777" w:rsidR="00165696" w:rsidRDefault="00165696" w:rsidP="00B332FF">
      <w:r>
        <w:separator/>
      </w:r>
    </w:p>
  </w:footnote>
  <w:footnote w:type="continuationSeparator" w:id="0">
    <w:p w14:paraId="1D5AE73F" w14:textId="77777777" w:rsidR="00165696" w:rsidRDefault="00165696" w:rsidP="00B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16FC8C" w14:textId="77777777" w:rsidR="0099390E" w:rsidRDefault="0099390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240325" w14:textId="77777777" w:rsidR="00A7049D" w:rsidRDefault="00BE55F3" w:rsidP="004E0946">
    <w:pPr>
      <w:pStyle w:val="Nagwek"/>
      <w:tabs>
        <w:tab w:val="clear" w:pos="4536"/>
      </w:tabs>
    </w:pPr>
    <w:r>
      <w:rPr>
        <w:noProof/>
      </w:rPr>
      <w:drawing>
        <wp:inline distT="0" distB="0" distL="0" distR="0" wp14:anchorId="23404AEF" wp14:editId="7487828C">
          <wp:extent cx="2055641" cy="250825"/>
          <wp:effectExtent l="0" t="0" r="1905" b="0"/>
          <wp:docPr id="84514688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4506" cy="28607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4B4B8A" w14:textId="77777777" w:rsidR="0099390E" w:rsidRDefault="0099390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85370"/>
    <w:multiLevelType w:val="hybridMultilevel"/>
    <w:tmpl w:val="10A60F08"/>
    <w:lvl w:ilvl="0" w:tplc="09E2651C">
      <w:start w:val="1"/>
      <w:numFmt w:val="bullet"/>
      <w:lvlText w:val=""/>
      <w:lvlJc w:val="left"/>
      <w:pPr>
        <w:ind w:left="720" w:hanging="360"/>
      </w:pPr>
      <w:rPr>
        <w:rFonts w:ascii="Symbol" w:hAnsi="Symbol" w:hint="default"/>
        <w:color w:val="ED7D31" w:themeColor="accen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43E0808"/>
    <w:multiLevelType w:val="multilevel"/>
    <w:tmpl w:val="19B6DF1A"/>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28130E81"/>
    <w:multiLevelType w:val="multilevel"/>
    <w:tmpl w:val="28C442A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296D6A03"/>
    <w:multiLevelType w:val="hybridMultilevel"/>
    <w:tmpl w:val="A3603D5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38321B8E"/>
    <w:multiLevelType w:val="hybridMultilevel"/>
    <w:tmpl w:val="B71C29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C755D6A"/>
    <w:multiLevelType w:val="hybridMultilevel"/>
    <w:tmpl w:val="F4EA6D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4FB4097"/>
    <w:multiLevelType w:val="hybridMultilevel"/>
    <w:tmpl w:val="CF4AE0A8"/>
    <w:lvl w:ilvl="0" w:tplc="0415000F">
      <w:start w:val="1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66040696"/>
    <w:multiLevelType w:val="hybridMultilevel"/>
    <w:tmpl w:val="F9A495DE"/>
    <w:lvl w:ilvl="0" w:tplc="DD6C1062">
      <w:start w:val="1"/>
      <w:numFmt w:val="bullet"/>
      <w:lvlText w:val=""/>
      <w:lvlJc w:val="left"/>
      <w:pPr>
        <w:ind w:left="720" w:hanging="360"/>
      </w:pPr>
      <w:rPr>
        <w:rFonts w:ascii="Symbol" w:hAnsi="Symbol" w:hint="default"/>
        <w:color w:val="ED7D31" w:themeColor="accen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F835758"/>
    <w:multiLevelType w:val="multilevel"/>
    <w:tmpl w:val="3CBC8B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7501B28"/>
    <w:multiLevelType w:val="hybridMultilevel"/>
    <w:tmpl w:val="8EF4B0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60177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4859667">
    <w:abstractNumId w:val="5"/>
  </w:num>
  <w:num w:numId="3" w16cid:durableId="28721064">
    <w:abstractNumId w:val="7"/>
  </w:num>
  <w:num w:numId="4" w16cid:durableId="222722216">
    <w:abstractNumId w:val="1"/>
  </w:num>
  <w:num w:numId="5" w16cid:durableId="2076078049">
    <w:abstractNumId w:val="6"/>
  </w:num>
  <w:num w:numId="6" w16cid:durableId="765728980">
    <w:abstractNumId w:val="2"/>
  </w:num>
  <w:num w:numId="7" w16cid:durableId="1094592071">
    <w:abstractNumId w:val="8"/>
  </w:num>
  <w:num w:numId="8" w16cid:durableId="1675380434">
    <w:abstractNumId w:val="0"/>
  </w:num>
  <w:num w:numId="9" w16cid:durableId="661813255">
    <w:abstractNumId w:val="9"/>
  </w:num>
  <w:num w:numId="10" w16cid:durableId="1375808896">
    <w:abstractNumId w:val="4"/>
  </w:num>
  <w:num w:numId="11" w16cid:durableId="77817939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504"/>
    <w:rsid w:val="000030BA"/>
    <w:rsid w:val="000300CB"/>
    <w:rsid w:val="00054831"/>
    <w:rsid w:val="0006010A"/>
    <w:rsid w:val="0006163F"/>
    <w:rsid w:val="000924FC"/>
    <w:rsid w:val="000C1CED"/>
    <w:rsid w:val="000C6B49"/>
    <w:rsid w:val="000E1AAA"/>
    <w:rsid w:val="000E6326"/>
    <w:rsid w:val="000F4ABB"/>
    <w:rsid w:val="00101D1C"/>
    <w:rsid w:val="001070AA"/>
    <w:rsid w:val="00114250"/>
    <w:rsid w:val="00114274"/>
    <w:rsid w:val="0014661E"/>
    <w:rsid w:val="001506B1"/>
    <w:rsid w:val="00161F41"/>
    <w:rsid w:val="00165696"/>
    <w:rsid w:val="00167064"/>
    <w:rsid w:val="00175134"/>
    <w:rsid w:val="00175ACE"/>
    <w:rsid w:val="00177301"/>
    <w:rsid w:val="00181865"/>
    <w:rsid w:val="001834B1"/>
    <w:rsid w:val="00183BAA"/>
    <w:rsid w:val="00187058"/>
    <w:rsid w:val="0018770E"/>
    <w:rsid w:val="00197B46"/>
    <w:rsid w:val="001B1E26"/>
    <w:rsid w:val="001D0663"/>
    <w:rsid w:val="001D6D0E"/>
    <w:rsid w:val="001E3D59"/>
    <w:rsid w:val="001E5866"/>
    <w:rsid w:val="001E7CE2"/>
    <w:rsid w:val="001F0E61"/>
    <w:rsid w:val="001F5C4F"/>
    <w:rsid w:val="00200AE5"/>
    <w:rsid w:val="0021569F"/>
    <w:rsid w:val="00276015"/>
    <w:rsid w:val="002979BE"/>
    <w:rsid w:val="002B25D5"/>
    <w:rsid w:val="002B7B64"/>
    <w:rsid w:val="002D41A7"/>
    <w:rsid w:val="002F0BB1"/>
    <w:rsid w:val="00305DB2"/>
    <w:rsid w:val="00306302"/>
    <w:rsid w:val="003063A1"/>
    <w:rsid w:val="0032285B"/>
    <w:rsid w:val="00334A32"/>
    <w:rsid w:val="00340D81"/>
    <w:rsid w:val="0034256F"/>
    <w:rsid w:val="00345D91"/>
    <w:rsid w:val="00382FB1"/>
    <w:rsid w:val="00386092"/>
    <w:rsid w:val="003A19F3"/>
    <w:rsid w:val="003B2C2A"/>
    <w:rsid w:val="003D6C17"/>
    <w:rsid w:val="003F3027"/>
    <w:rsid w:val="003F76C4"/>
    <w:rsid w:val="004029C4"/>
    <w:rsid w:val="004147EA"/>
    <w:rsid w:val="0043469B"/>
    <w:rsid w:val="00447620"/>
    <w:rsid w:val="00447A5D"/>
    <w:rsid w:val="00451150"/>
    <w:rsid w:val="00454537"/>
    <w:rsid w:val="00465B97"/>
    <w:rsid w:val="00474CA1"/>
    <w:rsid w:val="004815B8"/>
    <w:rsid w:val="00481688"/>
    <w:rsid w:val="004903D7"/>
    <w:rsid w:val="004A6CC6"/>
    <w:rsid w:val="004C4E03"/>
    <w:rsid w:val="004C7374"/>
    <w:rsid w:val="004D06E3"/>
    <w:rsid w:val="004E0946"/>
    <w:rsid w:val="004E572F"/>
    <w:rsid w:val="00540F74"/>
    <w:rsid w:val="00542EF3"/>
    <w:rsid w:val="00546A41"/>
    <w:rsid w:val="00553F38"/>
    <w:rsid w:val="00554ACF"/>
    <w:rsid w:val="00571AAA"/>
    <w:rsid w:val="0058312D"/>
    <w:rsid w:val="00591FDA"/>
    <w:rsid w:val="005B7B2B"/>
    <w:rsid w:val="005E4DE0"/>
    <w:rsid w:val="00625F13"/>
    <w:rsid w:val="00632AC9"/>
    <w:rsid w:val="00656E61"/>
    <w:rsid w:val="00662145"/>
    <w:rsid w:val="0066258C"/>
    <w:rsid w:val="00670266"/>
    <w:rsid w:val="006710CA"/>
    <w:rsid w:val="00673502"/>
    <w:rsid w:val="006751EB"/>
    <w:rsid w:val="006C417A"/>
    <w:rsid w:val="006F4D59"/>
    <w:rsid w:val="007207B1"/>
    <w:rsid w:val="00726343"/>
    <w:rsid w:val="00732A7D"/>
    <w:rsid w:val="00734051"/>
    <w:rsid w:val="00735EF3"/>
    <w:rsid w:val="0076055E"/>
    <w:rsid w:val="007637A8"/>
    <w:rsid w:val="0078550F"/>
    <w:rsid w:val="00790E33"/>
    <w:rsid w:val="00793716"/>
    <w:rsid w:val="007B5851"/>
    <w:rsid w:val="007C4A8E"/>
    <w:rsid w:val="007E29E1"/>
    <w:rsid w:val="0080330A"/>
    <w:rsid w:val="00814FE1"/>
    <w:rsid w:val="00816D92"/>
    <w:rsid w:val="0089087A"/>
    <w:rsid w:val="008B7179"/>
    <w:rsid w:val="008B7F2D"/>
    <w:rsid w:val="008C385E"/>
    <w:rsid w:val="008E2911"/>
    <w:rsid w:val="008E33AE"/>
    <w:rsid w:val="0092415D"/>
    <w:rsid w:val="009345CB"/>
    <w:rsid w:val="0094428A"/>
    <w:rsid w:val="00954736"/>
    <w:rsid w:val="009578A6"/>
    <w:rsid w:val="0099390E"/>
    <w:rsid w:val="009C033B"/>
    <w:rsid w:val="009C1B7E"/>
    <w:rsid w:val="009C71E6"/>
    <w:rsid w:val="009E5B91"/>
    <w:rsid w:val="009F7EC3"/>
    <w:rsid w:val="00A043F3"/>
    <w:rsid w:val="00A11E1D"/>
    <w:rsid w:val="00A22AC8"/>
    <w:rsid w:val="00A25E09"/>
    <w:rsid w:val="00A30BED"/>
    <w:rsid w:val="00A4496F"/>
    <w:rsid w:val="00A51614"/>
    <w:rsid w:val="00A61758"/>
    <w:rsid w:val="00A636C7"/>
    <w:rsid w:val="00A7049D"/>
    <w:rsid w:val="00A8705E"/>
    <w:rsid w:val="00A87FE3"/>
    <w:rsid w:val="00A92ED7"/>
    <w:rsid w:val="00AA76C6"/>
    <w:rsid w:val="00AA7EA1"/>
    <w:rsid w:val="00AB0E67"/>
    <w:rsid w:val="00AC7411"/>
    <w:rsid w:val="00AD43A7"/>
    <w:rsid w:val="00AE1D92"/>
    <w:rsid w:val="00AF007D"/>
    <w:rsid w:val="00B12504"/>
    <w:rsid w:val="00B332FF"/>
    <w:rsid w:val="00B70987"/>
    <w:rsid w:val="00B74448"/>
    <w:rsid w:val="00B87BFE"/>
    <w:rsid w:val="00B9707D"/>
    <w:rsid w:val="00BA59BB"/>
    <w:rsid w:val="00BC11C0"/>
    <w:rsid w:val="00BD08B6"/>
    <w:rsid w:val="00BD23EA"/>
    <w:rsid w:val="00BE3750"/>
    <w:rsid w:val="00BE55F3"/>
    <w:rsid w:val="00BE7867"/>
    <w:rsid w:val="00C14DEA"/>
    <w:rsid w:val="00C158C5"/>
    <w:rsid w:val="00C40C2D"/>
    <w:rsid w:val="00C668A0"/>
    <w:rsid w:val="00C71DB4"/>
    <w:rsid w:val="00C740EC"/>
    <w:rsid w:val="00C768FD"/>
    <w:rsid w:val="00C76FAF"/>
    <w:rsid w:val="00C93A0D"/>
    <w:rsid w:val="00C95145"/>
    <w:rsid w:val="00C96978"/>
    <w:rsid w:val="00CF225F"/>
    <w:rsid w:val="00CF260D"/>
    <w:rsid w:val="00D24642"/>
    <w:rsid w:val="00D3137D"/>
    <w:rsid w:val="00D404AC"/>
    <w:rsid w:val="00D42414"/>
    <w:rsid w:val="00D4483B"/>
    <w:rsid w:val="00D6608F"/>
    <w:rsid w:val="00D734A0"/>
    <w:rsid w:val="00D76D34"/>
    <w:rsid w:val="00DB1C3F"/>
    <w:rsid w:val="00DB3137"/>
    <w:rsid w:val="00DB5979"/>
    <w:rsid w:val="00DC0042"/>
    <w:rsid w:val="00DC40A9"/>
    <w:rsid w:val="00DF0205"/>
    <w:rsid w:val="00DF4FA2"/>
    <w:rsid w:val="00DF5583"/>
    <w:rsid w:val="00E05455"/>
    <w:rsid w:val="00E36300"/>
    <w:rsid w:val="00E373E4"/>
    <w:rsid w:val="00E50385"/>
    <w:rsid w:val="00E65520"/>
    <w:rsid w:val="00E8737F"/>
    <w:rsid w:val="00E91B81"/>
    <w:rsid w:val="00E9624B"/>
    <w:rsid w:val="00EC74E8"/>
    <w:rsid w:val="00ED06F1"/>
    <w:rsid w:val="00ED62E3"/>
    <w:rsid w:val="00EE0E22"/>
    <w:rsid w:val="00EE3A0E"/>
    <w:rsid w:val="00EE6AB9"/>
    <w:rsid w:val="00F03A2F"/>
    <w:rsid w:val="00F06EF0"/>
    <w:rsid w:val="00F21159"/>
    <w:rsid w:val="00F47D77"/>
    <w:rsid w:val="00F62098"/>
    <w:rsid w:val="00F67A48"/>
    <w:rsid w:val="00F802C4"/>
    <w:rsid w:val="00F92323"/>
    <w:rsid w:val="00F95C89"/>
    <w:rsid w:val="00FD3F6A"/>
    <w:rsid w:val="00FD4963"/>
    <w:rsid w:val="00FE14EA"/>
    <w:rsid w:val="00FF64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88781"/>
  <w15:chartTrackingRefBased/>
  <w15:docId w15:val="{0B74509B-D99D-B34F-8FAC-B741B5ED3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2AC8"/>
    <w:pPr>
      <w:spacing w:after="0" w:line="240" w:lineRule="auto"/>
    </w:pPr>
    <w:rPr>
      <w:rFonts w:ascii="Calibri" w:hAnsi="Calibri" w:cs="Calibri"/>
    </w:rPr>
  </w:style>
  <w:style w:type="paragraph" w:styleId="Nagwek1">
    <w:name w:val="heading 1"/>
    <w:basedOn w:val="Normalny"/>
    <w:link w:val="Nagwek1Znak"/>
    <w:uiPriority w:val="9"/>
    <w:qFormat/>
    <w:rsid w:val="00305DB2"/>
    <w:pPr>
      <w:spacing w:before="100" w:beforeAutospacing="1" w:after="100" w:afterAutospacing="1"/>
      <w:outlineLvl w:val="0"/>
    </w:pPr>
    <w:rPr>
      <w:rFonts w:ascii="Times New Roman" w:eastAsia="Times New Roman" w:hAnsi="Times New Roman" w:cs="Times New Roman"/>
      <w:b/>
      <w:bCs/>
      <w:kern w:val="36"/>
      <w:sz w:val="48"/>
      <w:szCs w:val="48"/>
      <w:lang w:eastAsia="pl-PL"/>
    </w:rPr>
  </w:style>
  <w:style w:type="paragraph" w:styleId="Nagwek3">
    <w:name w:val="heading 3"/>
    <w:basedOn w:val="Normalny"/>
    <w:link w:val="Nagwek3Znak"/>
    <w:uiPriority w:val="9"/>
    <w:qFormat/>
    <w:rsid w:val="00305DB2"/>
    <w:pPr>
      <w:spacing w:before="100" w:beforeAutospacing="1" w:after="100" w:afterAutospacing="1"/>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22AC8"/>
    <w:rPr>
      <w:rFonts w:ascii="Segoe UI" w:hAnsi="Segoe UI" w:cs="Segoe UI"/>
      <w:sz w:val="18"/>
      <w:szCs w:val="18"/>
    </w:rPr>
  </w:style>
  <w:style w:type="character" w:customStyle="1" w:styleId="TekstdymkaZnak">
    <w:name w:val="Tekst dymka Znak"/>
    <w:basedOn w:val="Domylnaczcionkaakapitu"/>
    <w:link w:val="Tekstdymka"/>
    <w:uiPriority w:val="99"/>
    <w:semiHidden/>
    <w:rsid w:val="00A22AC8"/>
    <w:rPr>
      <w:rFonts w:ascii="Segoe UI" w:hAnsi="Segoe UI" w:cs="Segoe UI"/>
      <w:sz w:val="18"/>
      <w:szCs w:val="18"/>
    </w:rPr>
  </w:style>
  <w:style w:type="paragraph" w:styleId="Nagwek">
    <w:name w:val="header"/>
    <w:basedOn w:val="Normalny"/>
    <w:link w:val="NagwekZnak"/>
    <w:uiPriority w:val="99"/>
    <w:unhideWhenUsed/>
    <w:rsid w:val="00B332FF"/>
    <w:pPr>
      <w:tabs>
        <w:tab w:val="center" w:pos="4536"/>
        <w:tab w:val="right" w:pos="9072"/>
      </w:tabs>
    </w:pPr>
  </w:style>
  <w:style w:type="character" w:customStyle="1" w:styleId="NagwekZnak">
    <w:name w:val="Nagłówek Znak"/>
    <w:basedOn w:val="Domylnaczcionkaakapitu"/>
    <w:link w:val="Nagwek"/>
    <w:uiPriority w:val="99"/>
    <w:rsid w:val="00B332FF"/>
    <w:rPr>
      <w:rFonts w:ascii="Calibri" w:hAnsi="Calibri" w:cs="Calibri"/>
    </w:rPr>
  </w:style>
  <w:style w:type="paragraph" w:styleId="Stopka">
    <w:name w:val="footer"/>
    <w:basedOn w:val="Normalny"/>
    <w:link w:val="StopkaZnak"/>
    <w:uiPriority w:val="99"/>
    <w:unhideWhenUsed/>
    <w:rsid w:val="00B332FF"/>
    <w:pPr>
      <w:tabs>
        <w:tab w:val="center" w:pos="4536"/>
        <w:tab w:val="right" w:pos="9072"/>
      </w:tabs>
    </w:pPr>
  </w:style>
  <w:style w:type="character" w:customStyle="1" w:styleId="StopkaZnak">
    <w:name w:val="Stopka Znak"/>
    <w:basedOn w:val="Domylnaczcionkaakapitu"/>
    <w:link w:val="Stopka"/>
    <w:uiPriority w:val="99"/>
    <w:rsid w:val="00B332FF"/>
    <w:rPr>
      <w:rFonts w:ascii="Calibri" w:hAnsi="Calibri" w:cs="Calibri"/>
    </w:rPr>
  </w:style>
  <w:style w:type="paragraph" w:styleId="NormalnyWeb">
    <w:name w:val="Normal (Web)"/>
    <w:basedOn w:val="Normalny"/>
    <w:uiPriority w:val="99"/>
    <w:unhideWhenUsed/>
    <w:rsid w:val="00A636C7"/>
    <w:pPr>
      <w:spacing w:before="100" w:beforeAutospacing="1" w:after="100" w:afterAutospacing="1"/>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89087A"/>
    <w:pPr>
      <w:ind w:left="720"/>
      <w:contextualSpacing/>
    </w:pPr>
  </w:style>
  <w:style w:type="paragraph" w:customStyle="1" w:styleId="Default">
    <w:name w:val="Default"/>
    <w:rsid w:val="004815B8"/>
    <w:pPr>
      <w:autoSpaceDE w:val="0"/>
      <w:autoSpaceDN w:val="0"/>
      <w:adjustRightInd w:val="0"/>
      <w:spacing w:after="0" w:line="240" w:lineRule="auto"/>
    </w:pPr>
    <w:rPr>
      <w:rFonts w:ascii="Myriad Pro" w:hAnsi="Myriad Pro" w:cs="Myriad Pro"/>
      <w:color w:val="000000"/>
      <w:sz w:val="24"/>
      <w:szCs w:val="24"/>
    </w:rPr>
  </w:style>
  <w:style w:type="character" w:customStyle="1" w:styleId="A5">
    <w:name w:val="A5"/>
    <w:uiPriority w:val="99"/>
    <w:rsid w:val="004815B8"/>
    <w:rPr>
      <w:rFonts w:cs="Myriad Pro"/>
      <w:b/>
      <w:bCs/>
      <w:color w:val="000000"/>
      <w:sz w:val="90"/>
      <w:szCs w:val="90"/>
    </w:rPr>
  </w:style>
  <w:style w:type="character" w:styleId="Hipercze">
    <w:name w:val="Hyperlink"/>
    <w:basedOn w:val="Domylnaczcionkaakapitu"/>
    <w:uiPriority w:val="99"/>
    <w:unhideWhenUsed/>
    <w:rsid w:val="00EE6AB9"/>
    <w:rPr>
      <w:color w:val="0563C1" w:themeColor="hyperlink"/>
      <w:u w:val="single"/>
    </w:rPr>
  </w:style>
  <w:style w:type="character" w:styleId="Nierozpoznanawzmianka">
    <w:name w:val="Unresolved Mention"/>
    <w:basedOn w:val="Domylnaczcionkaakapitu"/>
    <w:uiPriority w:val="99"/>
    <w:semiHidden/>
    <w:unhideWhenUsed/>
    <w:rsid w:val="00EE6AB9"/>
    <w:rPr>
      <w:color w:val="605E5C"/>
      <w:shd w:val="clear" w:color="auto" w:fill="E1DFDD"/>
    </w:rPr>
  </w:style>
  <w:style w:type="character" w:customStyle="1" w:styleId="Nagwek1Znak">
    <w:name w:val="Nagłówek 1 Znak"/>
    <w:basedOn w:val="Domylnaczcionkaakapitu"/>
    <w:link w:val="Nagwek1"/>
    <w:uiPriority w:val="9"/>
    <w:rsid w:val="00305DB2"/>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305DB2"/>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305DB2"/>
    <w:rPr>
      <w:b/>
      <w:bCs/>
    </w:rPr>
  </w:style>
  <w:style w:type="character" w:styleId="Uwydatnienie">
    <w:name w:val="Emphasis"/>
    <w:basedOn w:val="Domylnaczcionkaakapitu"/>
    <w:uiPriority w:val="20"/>
    <w:qFormat/>
    <w:rsid w:val="00305DB2"/>
    <w:rPr>
      <w:i/>
      <w:iCs/>
    </w:rPr>
  </w:style>
  <w:style w:type="paragraph" w:customStyle="1" w:styleId="isselectedend">
    <w:name w:val="isselectedend"/>
    <w:basedOn w:val="Normalny"/>
    <w:rsid w:val="00CF260D"/>
    <w:pPr>
      <w:spacing w:before="100" w:beforeAutospacing="1" w:after="100" w:afterAutospacing="1"/>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539391">
      <w:bodyDiv w:val="1"/>
      <w:marLeft w:val="0"/>
      <w:marRight w:val="0"/>
      <w:marTop w:val="0"/>
      <w:marBottom w:val="0"/>
      <w:divBdr>
        <w:top w:val="none" w:sz="0" w:space="0" w:color="auto"/>
        <w:left w:val="none" w:sz="0" w:space="0" w:color="auto"/>
        <w:bottom w:val="none" w:sz="0" w:space="0" w:color="auto"/>
        <w:right w:val="none" w:sz="0" w:space="0" w:color="auto"/>
      </w:divBdr>
    </w:div>
    <w:div w:id="454755860">
      <w:bodyDiv w:val="1"/>
      <w:marLeft w:val="0"/>
      <w:marRight w:val="0"/>
      <w:marTop w:val="0"/>
      <w:marBottom w:val="0"/>
      <w:divBdr>
        <w:top w:val="none" w:sz="0" w:space="0" w:color="auto"/>
        <w:left w:val="none" w:sz="0" w:space="0" w:color="auto"/>
        <w:bottom w:val="none" w:sz="0" w:space="0" w:color="auto"/>
        <w:right w:val="none" w:sz="0" w:space="0" w:color="auto"/>
      </w:divBdr>
      <w:divsChild>
        <w:div w:id="1610547664">
          <w:marLeft w:val="0"/>
          <w:marRight w:val="0"/>
          <w:marTop w:val="0"/>
          <w:marBottom w:val="0"/>
          <w:divBdr>
            <w:top w:val="none" w:sz="0" w:space="0" w:color="auto"/>
            <w:left w:val="none" w:sz="0" w:space="0" w:color="auto"/>
            <w:bottom w:val="none" w:sz="0" w:space="0" w:color="auto"/>
            <w:right w:val="none" w:sz="0" w:space="0" w:color="auto"/>
          </w:divBdr>
          <w:divsChild>
            <w:div w:id="2002462475">
              <w:marLeft w:val="0"/>
              <w:marRight w:val="0"/>
              <w:marTop w:val="0"/>
              <w:marBottom w:val="0"/>
              <w:divBdr>
                <w:top w:val="none" w:sz="0" w:space="0" w:color="auto"/>
                <w:left w:val="none" w:sz="0" w:space="0" w:color="auto"/>
                <w:bottom w:val="none" w:sz="0" w:space="0" w:color="auto"/>
                <w:right w:val="none" w:sz="0" w:space="0" w:color="auto"/>
              </w:divBdr>
              <w:divsChild>
                <w:div w:id="646394316">
                  <w:marLeft w:val="0"/>
                  <w:marRight w:val="0"/>
                  <w:marTop w:val="0"/>
                  <w:marBottom w:val="0"/>
                  <w:divBdr>
                    <w:top w:val="none" w:sz="0" w:space="0" w:color="auto"/>
                    <w:left w:val="none" w:sz="0" w:space="0" w:color="auto"/>
                    <w:bottom w:val="none" w:sz="0" w:space="0" w:color="auto"/>
                    <w:right w:val="none" w:sz="0" w:space="0" w:color="auto"/>
                  </w:divBdr>
                  <w:divsChild>
                    <w:div w:id="80801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053">
      <w:bodyDiv w:val="1"/>
      <w:marLeft w:val="0"/>
      <w:marRight w:val="0"/>
      <w:marTop w:val="0"/>
      <w:marBottom w:val="0"/>
      <w:divBdr>
        <w:top w:val="none" w:sz="0" w:space="0" w:color="auto"/>
        <w:left w:val="none" w:sz="0" w:space="0" w:color="auto"/>
        <w:bottom w:val="none" w:sz="0" w:space="0" w:color="auto"/>
        <w:right w:val="none" w:sz="0" w:space="0" w:color="auto"/>
      </w:divBdr>
    </w:div>
    <w:div w:id="527329930">
      <w:bodyDiv w:val="1"/>
      <w:marLeft w:val="0"/>
      <w:marRight w:val="0"/>
      <w:marTop w:val="0"/>
      <w:marBottom w:val="0"/>
      <w:divBdr>
        <w:top w:val="none" w:sz="0" w:space="0" w:color="auto"/>
        <w:left w:val="none" w:sz="0" w:space="0" w:color="auto"/>
        <w:bottom w:val="none" w:sz="0" w:space="0" w:color="auto"/>
        <w:right w:val="none" w:sz="0" w:space="0" w:color="auto"/>
      </w:divBdr>
    </w:div>
    <w:div w:id="1139226519">
      <w:bodyDiv w:val="1"/>
      <w:marLeft w:val="0"/>
      <w:marRight w:val="0"/>
      <w:marTop w:val="0"/>
      <w:marBottom w:val="0"/>
      <w:divBdr>
        <w:top w:val="none" w:sz="0" w:space="0" w:color="auto"/>
        <w:left w:val="none" w:sz="0" w:space="0" w:color="auto"/>
        <w:bottom w:val="none" w:sz="0" w:space="0" w:color="auto"/>
        <w:right w:val="none" w:sz="0" w:space="0" w:color="auto"/>
      </w:divBdr>
    </w:div>
    <w:div w:id="1246380826">
      <w:bodyDiv w:val="1"/>
      <w:marLeft w:val="0"/>
      <w:marRight w:val="0"/>
      <w:marTop w:val="0"/>
      <w:marBottom w:val="0"/>
      <w:divBdr>
        <w:top w:val="none" w:sz="0" w:space="0" w:color="auto"/>
        <w:left w:val="none" w:sz="0" w:space="0" w:color="auto"/>
        <w:bottom w:val="none" w:sz="0" w:space="0" w:color="auto"/>
        <w:right w:val="none" w:sz="0" w:space="0" w:color="auto"/>
      </w:divBdr>
    </w:div>
    <w:div w:id="1385062210">
      <w:bodyDiv w:val="1"/>
      <w:marLeft w:val="0"/>
      <w:marRight w:val="0"/>
      <w:marTop w:val="0"/>
      <w:marBottom w:val="0"/>
      <w:divBdr>
        <w:top w:val="none" w:sz="0" w:space="0" w:color="auto"/>
        <w:left w:val="none" w:sz="0" w:space="0" w:color="auto"/>
        <w:bottom w:val="none" w:sz="0" w:space="0" w:color="auto"/>
        <w:right w:val="none" w:sz="0" w:space="0" w:color="auto"/>
      </w:divBdr>
    </w:div>
    <w:div w:id="1472135828">
      <w:bodyDiv w:val="1"/>
      <w:marLeft w:val="0"/>
      <w:marRight w:val="0"/>
      <w:marTop w:val="0"/>
      <w:marBottom w:val="0"/>
      <w:divBdr>
        <w:top w:val="none" w:sz="0" w:space="0" w:color="auto"/>
        <w:left w:val="none" w:sz="0" w:space="0" w:color="auto"/>
        <w:bottom w:val="none" w:sz="0" w:space="0" w:color="auto"/>
        <w:right w:val="none" w:sz="0" w:space="0" w:color="auto"/>
      </w:divBdr>
      <w:divsChild>
        <w:div w:id="1792554754">
          <w:marLeft w:val="0"/>
          <w:marRight w:val="0"/>
          <w:marTop w:val="0"/>
          <w:marBottom w:val="0"/>
          <w:divBdr>
            <w:top w:val="none" w:sz="0" w:space="0" w:color="auto"/>
            <w:left w:val="none" w:sz="0" w:space="0" w:color="auto"/>
            <w:bottom w:val="none" w:sz="0" w:space="0" w:color="auto"/>
            <w:right w:val="none" w:sz="0" w:space="0" w:color="auto"/>
          </w:divBdr>
          <w:divsChild>
            <w:div w:id="441808250">
              <w:marLeft w:val="0"/>
              <w:marRight w:val="0"/>
              <w:marTop w:val="0"/>
              <w:marBottom w:val="0"/>
              <w:divBdr>
                <w:top w:val="none" w:sz="0" w:space="0" w:color="auto"/>
                <w:left w:val="none" w:sz="0" w:space="0" w:color="auto"/>
                <w:bottom w:val="none" w:sz="0" w:space="0" w:color="auto"/>
                <w:right w:val="none" w:sz="0" w:space="0" w:color="auto"/>
              </w:divBdr>
              <w:divsChild>
                <w:div w:id="440952006">
                  <w:marLeft w:val="0"/>
                  <w:marRight w:val="0"/>
                  <w:marTop w:val="0"/>
                  <w:marBottom w:val="0"/>
                  <w:divBdr>
                    <w:top w:val="none" w:sz="0" w:space="0" w:color="auto"/>
                    <w:left w:val="none" w:sz="0" w:space="0" w:color="auto"/>
                    <w:bottom w:val="none" w:sz="0" w:space="0" w:color="auto"/>
                    <w:right w:val="none" w:sz="0" w:space="0" w:color="auto"/>
                  </w:divBdr>
                  <w:divsChild>
                    <w:div w:id="105212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979592">
      <w:bodyDiv w:val="1"/>
      <w:marLeft w:val="0"/>
      <w:marRight w:val="0"/>
      <w:marTop w:val="0"/>
      <w:marBottom w:val="0"/>
      <w:divBdr>
        <w:top w:val="none" w:sz="0" w:space="0" w:color="auto"/>
        <w:left w:val="none" w:sz="0" w:space="0" w:color="auto"/>
        <w:bottom w:val="none" w:sz="0" w:space="0" w:color="auto"/>
        <w:right w:val="none" w:sz="0" w:space="0" w:color="auto"/>
      </w:divBdr>
    </w:div>
    <w:div w:id="1605459097">
      <w:bodyDiv w:val="1"/>
      <w:marLeft w:val="0"/>
      <w:marRight w:val="0"/>
      <w:marTop w:val="0"/>
      <w:marBottom w:val="0"/>
      <w:divBdr>
        <w:top w:val="none" w:sz="0" w:space="0" w:color="auto"/>
        <w:left w:val="none" w:sz="0" w:space="0" w:color="auto"/>
        <w:bottom w:val="none" w:sz="0" w:space="0" w:color="auto"/>
        <w:right w:val="none" w:sz="0" w:space="0" w:color="auto"/>
      </w:divBdr>
    </w:div>
    <w:div w:id="1711226737">
      <w:bodyDiv w:val="1"/>
      <w:marLeft w:val="0"/>
      <w:marRight w:val="0"/>
      <w:marTop w:val="0"/>
      <w:marBottom w:val="0"/>
      <w:divBdr>
        <w:top w:val="none" w:sz="0" w:space="0" w:color="auto"/>
        <w:left w:val="none" w:sz="0" w:space="0" w:color="auto"/>
        <w:bottom w:val="none" w:sz="0" w:space="0" w:color="auto"/>
        <w:right w:val="none" w:sz="0" w:space="0" w:color="auto"/>
      </w:divBdr>
    </w:div>
    <w:div w:id="1816951365">
      <w:bodyDiv w:val="1"/>
      <w:marLeft w:val="0"/>
      <w:marRight w:val="0"/>
      <w:marTop w:val="0"/>
      <w:marBottom w:val="0"/>
      <w:divBdr>
        <w:top w:val="none" w:sz="0" w:space="0" w:color="auto"/>
        <w:left w:val="none" w:sz="0" w:space="0" w:color="auto"/>
        <w:bottom w:val="none" w:sz="0" w:space="0" w:color="auto"/>
        <w:right w:val="none" w:sz="0" w:space="0" w:color="auto"/>
      </w:divBdr>
    </w:div>
    <w:div w:id="202428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tyniec@bepr.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atarzynakozlowska/Desktop/22.09.2026_Indeks%20w%20jednej%20re&#808;ce,%20CV%20w%20drugiej.%20Studenci%20licza&#808;%20pienia&#808;dze%20i%20szukaja&#808;%20pracy_IP.dotx" TargetMode="External"/></Relationships>
</file>

<file path=word/theme/theme1.xml><?xml version="1.0" encoding="utf-8"?>
<a:theme xmlns:a="http://schemas.openxmlformats.org/drawingml/2006/main" name="Motyw pakietu Office">
  <a:themeElements>
    <a:clrScheme name="Grupa progres">
      <a:dk1>
        <a:srgbClr val="1F1B41"/>
      </a:dk1>
      <a:lt1>
        <a:sysClr val="window" lastClr="FFFFFF"/>
      </a:lt1>
      <a:dk2>
        <a:srgbClr val="1F1B2C"/>
      </a:dk2>
      <a:lt2>
        <a:srgbClr val="E7E6E6"/>
      </a:lt2>
      <a:accent1>
        <a:srgbClr val="A5468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B0C38-FFAB-41B1-888D-4055A882F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22.09.2026_Indeks w jednej ręce, CV w drugiej. Studenci liczą pieniądze i szukają pracy_IP.dotx</Template>
  <TotalTime>28</TotalTime>
  <Pages>4</Pages>
  <Words>1580</Words>
  <Characters>9485</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Kamila Tyniec</cp:lastModifiedBy>
  <cp:revision>6</cp:revision>
  <cp:lastPrinted>2026-07-17T08:13:00Z</cp:lastPrinted>
  <dcterms:created xsi:type="dcterms:W3CDTF">2026-10-07T04:45:00Z</dcterms:created>
  <dcterms:modified xsi:type="dcterms:W3CDTF">2026-10-08T04:44:00Z</dcterms:modified>
</cp:coreProperties>
</file>