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AE154" w14:textId="77777777" w:rsidR="006F342F" w:rsidRPr="00984CAB" w:rsidRDefault="006F342F" w:rsidP="00984CAB">
      <w:pPr>
        <w:pBdr>
          <w:bottom w:val="single" w:sz="12" w:space="1" w:color="auto"/>
        </w:pBdr>
        <w:jc w:val="both"/>
        <w:rPr>
          <w:rFonts w:ascii="Cambria" w:hAnsi="Cambria" w:cs="Times New Roman"/>
          <w:bCs/>
          <w:color w:val="auto"/>
          <w:sz w:val="21"/>
          <w:szCs w:val="21"/>
        </w:rPr>
      </w:pPr>
      <w:r w:rsidRPr="00984CAB">
        <w:rPr>
          <w:rFonts w:ascii="Cambria" w:hAnsi="Cambria"/>
          <w:bCs/>
          <w:sz w:val="21"/>
          <w:szCs w:val="21"/>
        </w:rPr>
        <w:t>INFORMACJA PRASOWA</w:t>
      </w:r>
    </w:p>
    <w:p w14:paraId="4772FF46" w14:textId="6D880DEB" w:rsidR="006F342F" w:rsidRPr="00984CAB" w:rsidRDefault="006F342F" w:rsidP="00984CAB">
      <w:pPr>
        <w:jc w:val="both"/>
        <w:rPr>
          <w:rFonts w:ascii="Cambria" w:hAnsi="Cambria"/>
          <w:bCs/>
          <w:sz w:val="21"/>
          <w:szCs w:val="21"/>
        </w:rPr>
      </w:pPr>
      <w:r w:rsidRPr="00984CAB">
        <w:rPr>
          <w:rFonts w:ascii="Cambria" w:hAnsi="Cambria"/>
          <w:bCs/>
          <w:sz w:val="21"/>
          <w:szCs w:val="21"/>
        </w:rPr>
        <w:t>Gdańsk,</w:t>
      </w:r>
      <w:r w:rsidR="006A551D" w:rsidRPr="00984CAB">
        <w:rPr>
          <w:rFonts w:ascii="Cambria" w:hAnsi="Cambria"/>
          <w:bCs/>
          <w:sz w:val="21"/>
          <w:szCs w:val="21"/>
        </w:rPr>
        <w:t xml:space="preserve"> </w:t>
      </w:r>
      <w:r w:rsidR="00984CAB" w:rsidRPr="00984CAB">
        <w:rPr>
          <w:rFonts w:ascii="Cambria" w:hAnsi="Cambria"/>
          <w:bCs/>
          <w:sz w:val="21"/>
          <w:szCs w:val="21"/>
        </w:rPr>
        <w:t>………….października</w:t>
      </w:r>
      <w:r w:rsidRPr="00984CAB">
        <w:rPr>
          <w:rFonts w:ascii="Cambria" w:hAnsi="Cambria"/>
          <w:bCs/>
          <w:sz w:val="21"/>
          <w:szCs w:val="21"/>
        </w:rPr>
        <w:t xml:space="preserve"> 2026 r.</w:t>
      </w:r>
    </w:p>
    <w:p w14:paraId="334ABCA4" w14:textId="56CF5886" w:rsidR="00984CAB" w:rsidRPr="00984CAB" w:rsidRDefault="00984CAB" w:rsidP="00984CAB">
      <w:pPr>
        <w:spacing w:before="100" w:beforeAutospacing="1" w:after="100" w:afterAutospacing="1"/>
        <w:jc w:val="both"/>
        <w:outlineLvl w:val="0"/>
        <w:rPr>
          <w:rFonts w:ascii="Times New Roman" w:hAnsi="Times New Roman" w:cs="Times New Roman"/>
          <w:b/>
          <w:color w:val="215E99" w:themeColor="text2" w:themeTint="BF"/>
          <w:kern w:val="36"/>
          <w:sz w:val="28"/>
          <w:szCs w:val="28"/>
        </w:rPr>
      </w:pPr>
      <w:r w:rsidRPr="00984CAB">
        <w:rPr>
          <w:rFonts w:ascii="Times New Roman" w:hAnsi="Times New Roman" w:cs="Times New Roman"/>
          <w:b/>
          <w:color w:val="215E99" w:themeColor="text2" w:themeTint="BF"/>
          <w:kern w:val="36"/>
          <w:sz w:val="28"/>
          <w:szCs w:val="28"/>
        </w:rPr>
        <w:t>Rynek wierzytelności zbliża się do 209 mld zł. Wartość portfeli rośnie szybciej niż ich liczba</w:t>
      </w:r>
    </w:p>
    <w:p w14:paraId="5533AD35" w14:textId="77777777" w:rsidR="00984CAB" w:rsidRPr="00984CAB" w:rsidRDefault="00984CAB" w:rsidP="00984CAB">
      <w:pPr>
        <w:spacing w:before="100" w:beforeAutospacing="1" w:after="100" w:afterAutospacing="1"/>
        <w:jc w:val="both"/>
        <w:rPr>
          <w:rFonts w:ascii="Times New Roman" w:hAnsi="Times New Roman" w:cs="Times New Roman"/>
          <w:b/>
          <w:color w:val="auto"/>
          <w:sz w:val="21"/>
          <w:szCs w:val="21"/>
        </w:rPr>
      </w:pPr>
      <w:r w:rsidRPr="00984CAB">
        <w:rPr>
          <w:rFonts w:ascii="Times New Roman" w:hAnsi="Times New Roman" w:cs="Times New Roman"/>
          <w:b/>
          <w:color w:val="auto"/>
          <w:sz w:val="21"/>
          <w:szCs w:val="21"/>
        </w:rPr>
        <w:t>Firmy uczestniczące w badaniu ZPF obsługują już ponad 20 mln wierzytelności. Ich łączna wartość wzrosła w ciągu roku o 17,4 mld zł, a średnia wartość pojedynczej wierzytelności przekroczyła 10 tys. zł.</w:t>
      </w:r>
    </w:p>
    <w:p w14:paraId="3A889BA0" w14:textId="77777777" w:rsidR="00984CAB" w:rsidRPr="00984CAB" w:rsidRDefault="00984CAB" w:rsidP="00984CAB">
      <w:pPr>
        <w:spacing w:before="100" w:beforeAutospacing="1" w:after="100" w:afterAutospacing="1"/>
        <w:jc w:val="both"/>
        <w:rPr>
          <w:rFonts w:ascii="Times New Roman" w:hAnsi="Times New Roman" w:cs="Times New Roman"/>
          <w:bCs/>
          <w:color w:val="auto"/>
          <w:sz w:val="21"/>
          <w:szCs w:val="21"/>
        </w:rPr>
      </w:pPr>
      <w:r w:rsidRPr="00984CAB">
        <w:rPr>
          <w:rFonts w:ascii="Times New Roman" w:hAnsi="Times New Roman" w:cs="Times New Roman"/>
          <w:bCs/>
          <w:color w:val="auto"/>
          <w:sz w:val="21"/>
          <w:szCs w:val="21"/>
        </w:rPr>
        <w:t>Na koniec II kwartału 2026 r. wartość wierzytelności obsługiwanych przez firmy uczestniczące w badaniu ZPF wyniosła 208,8 mld zł. To o 1,8 proc. więcej niż trzy miesiące wcześniej i o 9,1 proc. więcej niż przed rokiem. Liczba obsługiwanych wierzytelności wzrosła w tym czasie o 4,1 proc., do 20,43 mln.</w:t>
      </w:r>
    </w:p>
    <w:p w14:paraId="25C72D02" w14:textId="35D340C0" w:rsidR="00984CAB" w:rsidRPr="00984CAB" w:rsidRDefault="00984CAB" w:rsidP="00984CAB">
      <w:pPr>
        <w:spacing w:before="100" w:beforeAutospacing="1" w:after="100" w:afterAutospacing="1"/>
        <w:jc w:val="both"/>
        <w:rPr>
          <w:rFonts w:ascii="Times New Roman" w:hAnsi="Times New Roman" w:cs="Times New Roman"/>
          <w:bCs/>
          <w:color w:val="auto"/>
          <w:sz w:val="21"/>
          <w:szCs w:val="21"/>
        </w:rPr>
      </w:pPr>
      <w:r w:rsidRPr="00984CAB">
        <w:rPr>
          <w:rFonts w:ascii="Times New Roman" w:hAnsi="Times New Roman" w:cs="Times New Roman"/>
          <w:bCs/>
          <w:color w:val="auto"/>
          <w:sz w:val="21"/>
          <w:szCs w:val="21"/>
        </w:rPr>
        <w:t xml:space="preserve">Szybszy wzrost wartości portfeli niż liczby wierzytelności przekłada się na coraz wyższą przeciętną </w:t>
      </w:r>
      <w:r w:rsidR="00FF3F2D" w:rsidRPr="00FF3F2D">
        <w:rPr>
          <w:rFonts w:ascii="Times New Roman" w:hAnsi="Times New Roman" w:cs="Times New Roman"/>
          <w:bCs/>
          <w:color w:val="auto"/>
          <w:sz w:val="21"/>
          <w:szCs w:val="21"/>
        </w:rPr>
        <w:t>wartość pojedynczej wierzytelności</w:t>
      </w:r>
      <w:r w:rsidRPr="00984CAB">
        <w:rPr>
          <w:rFonts w:ascii="Times New Roman" w:hAnsi="Times New Roman" w:cs="Times New Roman"/>
          <w:bCs/>
          <w:color w:val="auto"/>
          <w:sz w:val="21"/>
          <w:szCs w:val="21"/>
        </w:rPr>
        <w:t>. Na koniec czerwca wyniosła ona 10,22 tys. zł, o 4,8 proc. więcej niż rok wcześniej.</w:t>
      </w:r>
    </w:p>
    <w:p w14:paraId="65165E12" w14:textId="3FB73AD9" w:rsidR="00984CAB" w:rsidRDefault="00471DD3" w:rsidP="00984CAB">
      <w:pPr>
        <w:spacing w:before="100" w:beforeAutospacing="1" w:after="100" w:afterAutospacing="1"/>
        <w:jc w:val="both"/>
        <w:rPr>
          <w:rFonts w:ascii="Times New Roman" w:hAnsi="Times New Roman" w:cs="Times New Roman"/>
          <w:bCs/>
          <w:color w:val="auto"/>
          <w:sz w:val="21"/>
          <w:szCs w:val="21"/>
        </w:rPr>
      </w:pPr>
      <w:r>
        <w:rPr>
          <w:rFonts w:ascii="Times New Roman" w:hAnsi="Times New Roman" w:cs="Times New Roman"/>
          <w:bCs/>
          <w:color w:val="auto"/>
          <w:sz w:val="21"/>
          <w:szCs w:val="21"/>
        </w:rPr>
        <w:t xml:space="preserve"> - </w:t>
      </w:r>
      <w:r w:rsidR="00984CAB" w:rsidRPr="00984CAB">
        <w:rPr>
          <w:rFonts w:ascii="Times New Roman" w:hAnsi="Times New Roman" w:cs="Times New Roman"/>
          <w:bCs/>
          <w:color w:val="auto"/>
          <w:sz w:val="21"/>
          <w:szCs w:val="21"/>
        </w:rPr>
        <w:t>Rosnąca średnia wartość wierzytelności zwiększa znaczenie właściwej oceny ryzyka i skutecznego zarządzania portfelem. Im wyższa wartość pojedynczej sprawy, tym ważniejsze stają się trafna ocena możliwości spłaty i odpowiednie podejście do klienta</w:t>
      </w:r>
      <w:r>
        <w:rPr>
          <w:rFonts w:ascii="Times New Roman" w:hAnsi="Times New Roman" w:cs="Times New Roman"/>
          <w:bCs/>
          <w:color w:val="auto"/>
          <w:sz w:val="21"/>
          <w:szCs w:val="21"/>
        </w:rPr>
        <w:t xml:space="preserve"> - </w:t>
      </w:r>
      <w:r w:rsidR="00984CAB">
        <w:rPr>
          <w:rFonts w:ascii="Times New Roman" w:hAnsi="Times New Roman" w:cs="Times New Roman"/>
          <w:bCs/>
          <w:color w:val="auto"/>
          <w:sz w:val="21"/>
          <w:szCs w:val="21"/>
        </w:rPr>
        <w:t>podkreśla</w:t>
      </w:r>
      <w:r w:rsidR="00984CAB" w:rsidRPr="00984CAB">
        <w:rPr>
          <w:rFonts w:ascii="Times New Roman" w:hAnsi="Times New Roman" w:cs="Times New Roman"/>
          <w:bCs/>
          <w:color w:val="auto"/>
          <w:sz w:val="21"/>
          <w:szCs w:val="21"/>
        </w:rPr>
        <w:t xml:space="preserve"> Marcin Czugan, prezes Związku Przedsiębiorstw Finansowych w Polsce.</w:t>
      </w:r>
    </w:p>
    <w:p w14:paraId="78E51BDF" w14:textId="77777777" w:rsidR="00C56ACB" w:rsidRPr="00984CAB" w:rsidRDefault="00C56ACB" w:rsidP="00C56ACB">
      <w:pPr>
        <w:jc w:val="both"/>
        <w:rPr>
          <w:rFonts w:ascii="Cambria" w:hAnsi="Cambria" w:cs="Calibri"/>
          <w:bCs/>
          <w:iCs/>
          <w:color w:val="auto"/>
          <w:spacing w:val="-2"/>
          <w:sz w:val="21"/>
          <w:szCs w:val="21"/>
        </w:rPr>
      </w:pPr>
      <w:r w:rsidRPr="00984CAB">
        <w:rPr>
          <w:rFonts w:ascii="Cambria" w:hAnsi="Cambria" w:cs="Calibri"/>
          <w:bCs/>
          <w:iCs/>
          <w:color w:val="auto"/>
          <w:spacing w:val="-2"/>
          <w:sz w:val="21"/>
          <w:szCs w:val="21"/>
        </w:rPr>
        <w:t>Wielkość polskiego rynku wierzytelności w II kw. 2026 r. prezentujemy na poniższej grafice.</w:t>
      </w:r>
    </w:p>
    <w:p w14:paraId="0BBEF036" w14:textId="77777777" w:rsidR="004B0A51" w:rsidRPr="004B0A51" w:rsidRDefault="004B0A51" w:rsidP="004B0A51">
      <w:pPr>
        <w:spacing w:before="100" w:beforeAutospacing="1" w:after="100" w:afterAutospacing="1"/>
        <w:jc w:val="both"/>
        <w:rPr>
          <w:rFonts w:ascii="Times New Roman" w:hAnsi="Times New Roman" w:cs="Times New Roman"/>
          <w:b/>
          <w:color w:val="auto"/>
          <w:sz w:val="21"/>
          <w:szCs w:val="21"/>
        </w:rPr>
      </w:pPr>
      <w:r w:rsidRPr="004B0A51">
        <w:rPr>
          <w:rFonts w:ascii="Times New Roman" w:hAnsi="Times New Roman" w:cs="Times New Roman"/>
          <w:b/>
          <w:color w:val="auto"/>
          <w:sz w:val="21"/>
          <w:szCs w:val="21"/>
        </w:rPr>
        <w:t>Konkurencja utrzymuje ceny portfeli na wysokim poziomie</w:t>
      </w:r>
    </w:p>
    <w:p w14:paraId="24A4F83D" w14:textId="49B4E40D" w:rsidR="004B0A51" w:rsidRDefault="004B0A51" w:rsidP="004B0A51">
      <w:pPr>
        <w:spacing w:before="100" w:beforeAutospacing="1" w:after="100" w:afterAutospacing="1"/>
        <w:jc w:val="both"/>
        <w:rPr>
          <w:rFonts w:ascii="Times New Roman" w:hAnsi="Times New Roman" w:cs="Times New Roman"/>
          <w:bCs/>
          <w:color w:val="auto"/>
          <w:sz w:val="21"/>
          <w:szCs w:val="21"/>
        </w:rPr>
      </w:pPr>
      <w:r w:rsidRPr="004B0A51">
        <w:rPr>
          <w:rFonts w:ascii="Times New Roman" w:hAnsi="Times New Roman" w:cs="Times New Roman"/>
          <w:bCs/>
          <w:color w:val="auto"/>
          <w:sz w:val="21"/>
          <w:szCs w:val="21"/>
        </w:rPr>
        <w:t>Drugi kwartał przyniósł wzrost aktywności na rynku sprzedaży wierzytelności. Przedstawiciele branży uczestniczący w badaniu ZPF wskazują na liczne procesy sprzedaży prowadzone przez banki oraz wysokie zainteresowanie ze strony kupujących. Rywalizacja w przetargach pozostaje intensywna, co ogranicza przestrzeń do spadku cen portfeli.</w:t>
      </w:r>
    </w:p>
    <w:p w14:paraId="1189F6CC" w14:textId="67D41001" w:rsidR="00984CAB" w:rsidRPr="00984CAB" w:rsidRDefault="00984CAB" w:rsidP="00984CAB">
      <w:pPr>
        <w:spacing w:before="100" w:beforeAutospacing="1" w:after="100" w:afterAutospacing="1"/>
        <w:jc w:val="both"/>
        <w:rPr>
          <w:rFonts w:ascii="Times New Roman" w:hAnsi="Times New Roman" w:cs="Times New Roman"/>
          <w:bCs/>
          <w:color w:val="auto"/>
          <w:sz w:val="21"/>
          <w:szCs w:val="21"/>
        </w:rPr>
      </w:pPr>
      <w:r w:rsidRPr="00984CAB">
        <w:rPr>
          <w:rFonts w:ascii="Times New Roman" w:hAnsi="Times New Roman" w:cs="Times New Roman"/>
          <w:bCs/>
          <w:color w:val="auto"/>
          <w:sz w:val="21"/>
          <w:szCs w:val="21"/>
        </w:rPr>
        <w:t>Własne fundusze wierzytelności firm objętych badaniem kupiły w II kwartale portfele o wartości 2,76 mld zł. To znacznie więcej niż w pierwszych trzech miesiącach roku, kiedy wartość zakupów wyniosła 0,2 mld zł. W porównaniu z II kwartałem 2025 r. wartość nowych inwestycji była jednak o 5 proc. niższa.</w:t>
      </w:r>
    </w:p>
    <w:p w14:paraId="74CDBD22" w14:textId="4A1509BF" w:rsidR="00984CAB" w:rsidRPr="00984CAB" w:rsidRDefault="00471DD3" w:rsidP="00984CAB">
      <w:pPr>
        <w:spacing w:before="100" w:beforeAutospacing="1" w:after="100" w:afterAutospacing="1"/>
        <w:jc w:val="both"/>
        <w:rPr>
          <w:rFonts w:ascii="Times New Roman" w:hAnsi="Times New Roman" w:cs="Times New Roman"/>
          <w:bCs/>
          <w:color w:val="auto"/>
          <w:sz w:val="21"/>
          <w:szCs w:val="21"/>
        </w:rPr>
      </w:pPr>
      <w:r>
        <w:rPr>
          <w:rFonts w:ascii="Times New Roman" w:hAnsi="Times New Roman" w:cs="Times New Roman"/>
          <w:bCs/>
          <w:color w:val="auto"/>
          <w:sz w:val="21"/>
          <w:szCs w:val="21"/>
        </w:rPr>
        <w:t xml:space="preserve">- </w:t>
      </w:r>
      <w:r w:rsidR="00984CAB" w:rsidRPr="00984CAB">
        <w:rPr>
          <w:rFonts w:ascii="Times New Roman" w:hAnsi="Times New Roman" w:cs="Times New Roman"/>
          <w:bCs/>
          <w:color w:val="auto"/>
          <w:sz w:val="21"/>
          <w:szCs w:val="21"/>
        </w:rPr>
        <w:t>Wysokie ceny portfeli wymagają od inwestorów dużej dyscypliny przy zakupach. Nie każdy portfel warto kupić za każdą cenę. O opłacalności inwestycji decyduje przede wszystkim relacja ceny do ryzyka i możliwych do osiągnięcia odzysków</w:t>
      </w:r>
      <w:r>
        <w:rPr>
          <w:rFonts w:ascii="Times New Roman" w:hAnsi="Times New Roman" w:cs="Times New Roman"/>
          <w:bCs/>
          <w:color w:val="auto"/>
          <w:sz w:val="21"/>
          <w:szCs w:val="21"/>
        </w:rPr>
        <w:t xml:space="preserve"> - </w:t>
      </w:r>
      <w:r w:rsidR="004B0A51">
        <w:rPr>
          <w:rFonts w:ascii="Times New Roman" w:hAnsi="Times New Roman" w:cs="Times New Roman"/>
          <w:bCs/>
          <w:color w:val="auto"/>
          <w:sz w:val="21"/>
          <w:szCs w:val="21"/>
        </w:rPr>
        <w:t>mówi</w:t>
      </w:r>
      <w:r w:rsidR="00984CAB" w:rsidRPr="00984CAB">
        <w:rPr>
          <w:rFonts w:ascii="Times New Roman" w:hAnsi="Times New Roman" w:cs="Times New Roman"/>
          <w:bCs/>
          <w:color w:val="auto"/>
          <w:sz w:val="21"/>
          <w:szCs w:val="21"/>
        </w:rPr>
        <w:t xml:space="preserve"> Marcin Czugan.</w:t>
      </w:r>
    </w:p>
    <w:p w14:paraId="13DDB711" w14:textId="77777777" w:rsidR="00984CAB" w:rsidRPr="004B0A51" w:rsidRDefault="00984CAB" w:rsidP="00984CAB">
      <w:pPr>
        <w:spacing w:before="100" w:beforeAutospacing="1" w:after="100" w:afterAutospacing="1"/>
        <w:jc w:val="both"/>
        <w:outlineLvl w:val="2"/>
        <w:rPr>
          <w:rFonts w:ascii="Times New Roman" w:hAnsi="Times New Roman" w:cs="Times New Roman"/>
          <w:b/>
          <w:color w:val="auto"/>
          <w:sz w:val="21"/>
          <w:szCs w:val="21"/>
        </w:rPr>
      </w:pPr>
      <w:r w:rsidRPr="004B0A51">
        <w:rPr>
          <w:rFonts w:ascii="Times New Roman" w:hAnsi="Times New Roman" w:cs="Times New Roman"/>
          <w:b/>
          <w:color w:val="auto"/>
          <w:sz w:val="21"/>
          <w:szCs w:val="21"/>
        </w:rPr>
        <w:t>Nastroje w branży pozostają stabilne</w:t>
      </w:r>
    </w:p>
    <w:p w14:paraId="3BC4C870" w14:textId="77777777" w:rsidR="00984CAB" w:rsidRPr="00984CAB" w:rsidRDefault="00984CAB" w:rsidP="00984CAB">
      <w:pPr>
        <w:spacing w:before="100" w:beforeAutospacing="1" w:after="100" w:afterAutospacing="1"/>
        <w:jc w:val="both"/>
        <w:rPr>
          <w:rFonts w:ascii="Times New Roman" w:hAnsi="Times New Roman" w:cs="Times New Roman"/>
          <w:bCs/>
          <w:color w:val="auto"/>
          <w:sz w:val="21"/>
          <w:szCs w:val="21"/>
        </w:rPr>
      </w:pPr>
      <w:r w:rsidRPr="00984CAB">
        <w:rPr>
          <w:rFonts w:ascii="Times New Roman" w:hAnsi="Times New Roman" w:cs="Times New Roman"/>
          <w:bCs/>
          <w:color w:val="auto"/>
          <w:sz w:val="21"/>
          <w:szCs w:val="21"/>
        </w:rPr>
        <w:t>Barometr Rynku Wierzytelności ZPF (BRW-ZPF) wyniósł w II kwartale 66,8 pkt i utrzymał się na poziomie zbliżonym do dwóch poprzednich kwartałów. Nadal pozostaje wyraźnie powyżej 50 pkt, czyli poziomu równowagi między pozytywnymi i negatywnymi ocenami sytuacji w branży.</w:t>
      </w:r>
    </w:p>
    <w:p w14:paraId="074A528C" w14:textId="77777777" w:rsidR="00984CAB" w:rsidRDefault="00984CAB" w:rsidP="00984CAB">
      <w:pPr>
        <w:spacing w:before="100" w:beforeAutospacing="1" w:after="100" w:afterAutospacing="1"/>
        <w:jc w:val="both"/>
        <w:rPr>
          <w:rFonts w:ascii="Times New Roman" w:hAnsi="Times New Roman" w:cs="Times New Roman"/>
          <w:bCs/>
          <w:color w:val="auto"/>
          <w:sz w:val="21"/>
          <w:szCs w:val="21"/>
        </w:rPr>
      </w:pPr>
      <w:r w:rsidRPr="00984CAB">
        <w:rPr>
          <w:rFonts w:ascii="Times New Roman" w:hAnsi="Times New Roman" w:cs="Times New Roman"/>
          <w:bCs/>
          <w:color w:val="auto"/>
          <w:sz w:val="21"/>
          <w:szCs w:val="21"/>
        </w:rPr>
        <w:t>Większość badanych firm nie odnotowała w ostatnich trzech miesiącach zmiany swojej sytuacji finansowej. Poprawę wskazało 29,4 proc. respondentów, natomiast żadna z firm nie oceniła, że jej sytuacja się pogorszyła.</w:t>
      </w:r>
    </w:p>
    <w:p w14:paraId="2EDCF329" w14:textId="77777777" w:rsidR="00C56ACB" w:rsidRPr="00984CAB" w:rsidRDefault="00C56ACB" w:rsidP="00C56ACB">
      <w:pPr>
        <w:jc w:val="both"/>
        <w:rPr>
          <w:rFonts w:ascii="Cambria" w:hAnsi="Cambria" w:cs="Calibri"/>
          <w:bCs/>
          <w:iCs/>
          <w:color w:val="auto"/>
          <w:spacing w:val="-2"/>
          <w:sz w:val="21"/>
          <w:szCs w:val="21"/>
        </w:rPr>
      </w:pPr>
      <w:r w:rsidRPr="00984CAB">
        <w:rPr>
          <w:rFonts w:ascii="Cambria" w:hAnsi="Cambria" w:cs="Calibri"/>
          <w:bCs/>
          <w:iCs/>
          <w:color w:val="auto"/>
          <w:spacing w:val="-2"/>
          <w:sz w:val="21"/>
          <w:szCs w:val="21"/>
        </w:rPr>
        <w:t>Barometr Rynku Wierzytelności ZPF (BRW-ZPF) prezentujemy na poniższej grafice.</w:t>
      </w:r>
    </w:p>
    <w:p w14:paraId="21E1188B" w14:textId="77777777" w:rsidR="00C56ACB" w:rsidRDefault="00C56ACB" w:rsidP="00984CAB">
      <w:pPr>
        <w:spacing w:before="100" w:beforeAutospacing="1" w:after="100" w:afterAutospacing="1"/>
        <w:jc w:val="both"/>
        <w:rPr>
          <w:rFonts w:ascii="Times New Roman" w:hAnsi="Times New Roman" w:cs="Times New Roman"/>
          <w:bCs/>
          <w:color w:val="auto"/>
          <w:sz w:val="21"/>
          <w:szCs w:val="21"/>
        </w:rPr>
      </w:pPr>
    </w:p>
    <w:p w14:paraId="214130AB" w14:textId="77777777" w:rsidR="00C56ACB" w:rsidRPr="00984CAB" w:rsidRDefault="00C56ACB" w:rsidP="00984CAB">
      <w:pPr>
        <w:spacing w:before="100" w:beforeAutospacing="1" w:after="100" w:afterAutospacing="1"/>
        <w:jc w:val="both"/>
        <w:rPr>
          <w:rFonts w:ascii="Times New Roman" w:hAnsi="Times New Roman" w:cs="Times New Roman"/>
          <w:bCs/>
          <w:color w:val="auto"/>
          <w:sz w:val="21"/>
          <w:szCs w:val="21"/>
        </w:rPr>
      </w:pPr>
    </w:p>
    <w:p w14:paraId="494D80E0" w14:textId="77777777" w:rsidR="00984CAB" w:rsidRPr="00984CAB" w:rsidRDefault="00984CAB" w:rsidP="00984CAB">
      <w:pPr>
        <w:spacing w:before="100" w:beforeAutospacing="1" w:after="100" w:afterAutospacing="1"/>
        <w:jc w:val="both"/>
        <w:rPr>
          <w:rFonts w:ascii="Times New Roman" w:hAnsi="Times New Roman" w:cs="Times New Roman"/>
          <w:bCs/>
          <w:color w:val="auto"/>
          <w:sz w:val="21"/>
          <w:szCs w:val="21"/>
        </w:rPr>
      </w:pPr>
      <w:r w:rsidRPr="00984CAB">
        <w:rPr>
          <w:rFonts w:ascii="Times New Roman" w:hAnsi="Times New Roman" w:cs="Times New Roman"/>
          <w:bCs/>
          <w:color w:val="auto"/>
          <w:sz w:val="21"/>
          <w:szCs w:val="21"/>
        </w:rPr>
        <w:t>Oczekiwania dotyczące kolejnych miesięcy są nieco ostrożniejsze. Wskaźnik wyprzedzający BRW-ZPFw wyniósł 73,2 pkt, o 2,1 pkt mniej niż kwartał wcześniej. Na jego spadek wpłynęły przede wszystkim bardziej zachowawcze prognozy dotyczące wzrostu wartości obsługiwanych wierzytelności. Jednocześnie żadna z badanych firm nie przewiduje pogorszenia swojej ogólnej sytuacji ani spadku zatrudnienia.</w:t>
      </w:r>
    </w:p>
    <w:p w14:paraId="3D55FE2C" w14:textId="77777777" w:rsidR="00984CAB" w:rsidRPr="00192434" w:rsidRDefault="00984CAB" w:rsidP="00984CAB">
      <w:pPr>
        <w:spacing w:before="100" w:beforeAutospacing="1" w:after="100" w:afterAutospacing="1"/>
        <w:jc w:val="both"/>
        <w:outlineLvl w:val="2"/>
        <w:rPr>
          <w:rFonts w:ascii="Times New Roman" w:hAnsi="Times New Roman" w:cs="Times New Roman"/>
          <w:b/>
          <w:color w:val="auto"/>
          <w:sz w:val="21"/>
          <w:szCs w:val="21"/>
        </w:rPr>
      </w:pPr>
      <w:r w:rsidRPr="00192434">
        <w:rPr>
          <w:rFonts w:ascii="Times New Roman" w:hAnsi="Times New Roman" w:cs="Times New Roman"/>
          <w:b/>
          <w:color w:val="auto"/>
          <w:sz w:val="21"/>
          <w:szCs w:val="21"/>
        </w:rPr>
        <w:t>Koszty pracy największą barierą dla firm</w:t>
      </w:r>
    </w:p>
    <w:p w14:paraId="2704ADEF" w14:textId="77777777" w:rsidR="00984CAB" w:rsidRPr="00984CAB" w:rsidRDefault="00984CAB" w:rsidP="00984CAB">
      <w:pPr>
        <w:spacing w:before="100" w:beforeAutospacing="1" w:after="100" w:afterAutospacing="1"/>
        <w:jc w:val="both"/>
        <w:rPr>
          <w:rFonts w:ascii="Times New Roman" w:hAnsi="Times New Roman" w:cs="Times New Roman"/>
          <w:bCs/>
          <w:color w:val="auto"/>
          <w:sz w:val="21"/>
          <w:szCs w:val="21"/>
        </w:rPr>
      </w:pPr>
      <w:r w:rsidRPr="00984CAB">
        <w:rPr>
          <w:rFonts w:ascii="Times New Roman" w:hAnsi="Times New Roman" w:cs="Times New Roman"/>
          <w:bCs/>
          <w:color w:val="auto"/>
          <w:sz w:val="21"/>
          <w:szCs w:val="21"/>
        </w:rPr>
        <w:t>Największym ograniczeniem dla działalności firm pozostają wysokie koszty zatrudnienia. Ich duży lub bardzo duży wpływ wskazuje 71 proc. badanych. Silną konkurencję ze strony krajowych firm wymienia 59 proc., a niewielką wartość wierzytelności dostępnych do zakupu – 57 proc.</w:t>
      </w:r>
    </w:p>
    <w:p w14:paraId="79917C64" w14:textId="77777777" w:rsidR="00984CAB" w:rsidRPr="00984CAB" w:rsidRDefault="00984CAB" w:rsidP="00984CAB">
      <w:pPr>
        <w:spacing w:before="100" w:beforeAutospacing="1" w:after="100" w:afterAutospacing="1"/>
        <w:jc w:val="both"/>
        <w:rPr>
          <w:rFonts w:ascii="Times New Roman" w:hAnsi="Times New Roman" w:cs="Times New Roman"/>
          <w:bCs/>
          <w:color w:val="auto"/>
          <w:sz w:val="21"/>
          <w:szCs w:val="21"/>
        </w:rPr>
      </w:pPr>
      <w:r w:rsidRPr="00984CAB">
        <w:rPr>
          <w:rFonts w:ascii="Times New Roman" w:hAnsi="Times New Roman" w:cs="Times New Roman"/>
          <w:bCs/>
          <w:color w:val="auto"/>
          <w:sz w:val="21"/>
          <w:szCs w:val="21"/>
        </w:rPr>
        <w:t>Wysokie koszty i silna konkurencja nie skłaniają jednak firm do ograniczania inwestycji. Zwiększenie nakładów przewiduje 47,1 proc. badanych, a 41,2 proc. zamierza utrzymać je na dotychczasowym poziomie. Żaden z respondentów nie wskazał braku środków finansowych jako powodu ograniczenia inwestycji.</w:t>
      </w:r>
    </w:p>
    <w:p w14:paraId="5D5E0EF9" w14:textId="77777777" w:rsidR="00984CAB" w:rsidRPr="00984CAB" w:rsidRDefault="00984CAB" w:rsidP="00984CAB">
      <w:pPr>
        <w:spacing w:before="100" w:beforeAutospacing="1" w:after="100" w:afterAutospacing="1"/>
        <w:jc w:val="both"/>
        <w:rPr>
          <w:rFonts w:ascii="Times New Roman" w:hAnsi="Times New Roman" w:cs="Times New Roman"/>
          <w:bCs/>
          <w:color w:val="auto"/>
          <w:sz w:val="21"/>
          <w:szCs w:val="21"/>
        </w:rPr>
      </w:pPr>
      <w:r w:rsidRPr="00984CAB">
        <w:rPr>
          <w:rFonts w:ascii="Times New Roman" w:hAnsi="Times New Roman" w:cs="Times New Roman"/>
          <w:bCs/>
          <w:color w:val="auto"/>
          <w:sz w:val="21"/>
          <w:szCs w:val="21"/>
        </w:rPr>
        <w:t>Przedstawiciele branży oczekują utrzymania wysokiej aktywności transakcyjnej także w kolejnych miesiącach. Jednocześnie wskazują na niepewność regulacyjną, która w dłuższej perspektywie może wpływać na wycenę portfeli i warunki transakcji.</w:t>
      </w:r>
    </w:p>
    <w:p w14:paraId="7C715007" w14:textId="77777777" w:rsidR="00984CAB" w:rsidRPr="00192434" w:rsidRDefault="00984CAB" w:rsidP="00984CAB">
      <w:pPr>
        <w:spacing w:before="100" w:beforeAutospacing="1" w:after="100" w:afterAutospacing="1"/>
        <w:jc w:val="both"/>
        <w:outlineLvl w:val="2"/>
        <w:rPr>
          <w:rFonts w:ascii="Times New Roman" w:hAnsi="Times New Roman" w:cs="Times New Roman"/>
          <w:b/>
          <w:color w:val="auto"/>
          <w:sz w:val="21"/>
          <w:szCs w:val="21"/>
        </w:rPr>
      </w:pPr>
      <w:r w:rsidRPr="00192434">
        <w:rPr>
          <w:rFonts w:ascii="Times New Roman" w:hAnsi="Times New Roman" w:cs="Times New Roman"/>
          <w:b/>
          <w:color w:val="auto"/>
          <w:sz w:val="21"/>
          <w:szCs w:val="21"/>
        </w:rPr>
        <w:t>O badaniu</w:t>
      </w:r>
    </w:p>
    <w:p w14:paraId="11AF0197" w14:textId="15424B01" w:rsidR="00984CAB" w:rsidRPr="00984CAB" w:rsidRDefault="00984CAB" w:rsidP="00192434">
      <w:pPr>
        <w:spacing w:before="100" w:beforeAutospacing="1" w:after="100" w:afterAutospacing="1"/>
        <w:jc w:val="both"/>
        <w:rPr>
          <w:rFonts w:ascii="Times New Roman" w:hAnsi="Times New Roman" w:cs="Times New Roman"/>
          <w:bCs/>
          <w:color w:val="auto"/>
          <w:sz w:val="21"/>
          <w:szCs w:val="21"/>
        </w:rPr>
      </w:pPr>
      <w:r w:rsidRPr="00984CAB">
        <w:rPr>
          <w:rFonts w:ascii="Times New Roman" w:hAnsi="Times New Roman" w:cs="Times New Roman"/>
          <w:bCs/>
          <w:color w:val="auto"/>
          <w:sz w:val="21"/>
          <w:szCs w:val="21"/>
        </w:rPr>
        <w:t xml:space="preserve">Raport „Wielkość polskiego rynku wierzytelności. II kwartał 2026” jest 60. edycją cyklicznego badania prowadzonego przez Związek Przedsiębiorstw Finansowych w Polsce. Dane dotyczące wielkości i struktury rynku pochodzą od 14 firm członkowskich ZPF. W badaniu Barometru Rynku Wierzytelności uczestniczyło </w:t>
      </w:r>
      <w:r w:rsidR="00D71C36">
        <w:rPr>
          <w:rFonts w:ascii="Times New Roman" w:hAnsi="Times New Roman" w:cs="Times New Roman"/>
          <w:bCs/>
          <w:color w:val="auto"/>
          <w:sz w:val="21"/>
          <w:szCs w:val="21"/>
        </w:rPr>
        <w:t>17 firm</w:t>
      </w:r>
      <w:r w:rsidR="001B2FFF">
        <w:rPr>
          <w:rFonts w:ascii="Times New Roman" w:hAnsi="Times New Roman" w:cs="Times New Roman"/>
          <w:bCs/>
          <w:color w:val="auto"/>
          <w:sz w:val="21"/>
          <w:szCs w:val="21"/>
        </w:rPr>
        <w:t>.</w:t>
      </w:r>
    </w:p>
    <w:p w14:paraId="3C266E1B" w14:textId="52B0B4DF" w:rsidR="006860A1" w:rsidRPr="00984CAB" w:rsidRDefault="001B2FFF" w:rsidP="00984CAB">
      <w:pPr>
        <w:jc w:val="both"/>
        <w:rPr>
          <w:rFonts w:ascii="Cambria" w:hAnsi="Cambria" w:cs="Calibri"/>
          <w:bCs/>
          <w:iCs/>
          <w:color w:val="auto"/>
          <w:spacing w:val="-2"/>
          <w:sz w:val="21"/>
          <w:szCs w:val="21"/>
        </w:rPr>
      </w:pPr>
      <w:r>
        <w:rPr>
          <w:rFonts w:ascii="Cambria" w:hAnsi="Cambria" w:cs="Calibri"/>
          <w:bCs/>
          <w:iCs/>
          <w:color w:val="auto"/>
          <w:spacing w:val="-2"/>
          <w:sz w:val="21"/>
          <w:szCs w:val="21"/>
        </w:rPr>
        <w:t>Możliwość pobrania r</w:t>
      </w:r>
      <w:r w:rsidR="006860A1" w:rsidRPr="00984CAB">
        <w:rPr>
          <w:rFonts w:ascii="Cambria" w:hAnsi="Cambria" w:cs="Calibri"/>
          <w:bCs/>
          <w:iCs/>
          <w:color w:val="auto"/>
          <w:spacing w:val="-2"/>
          <w:sz w:val="21"/>
          <w:szCs w:val="21"/>
        </w:rPr>
        <w:t>aport</w:t>
      </w:r>
      <w:r>
        <w:rPr>
          <w:rFonts w:ascii="Cambria" w:hAnsi="Cambria" w:cs="Calibri"/>
          <w:bCs/>
          <w:iCs/>
          <w:color w:val="auto"/>
          <w:spacing w:val="-2"/>
          <w:sz w:val="21"/>
          <w:szCs w:val="21"/>
        </w:rPr>
        <w:t>u</w:t>
      </w:r>
      <w:r w:rsidR="006860A1" w:rsidRPr="00984CAB">
        <w:rPr>
          <w:rFonts w:ascii="Cambria" w:hAnsi="Cambria" w:cs="Calibri"/>
          <w:bCs/>
          <w:iCs/>
          <w:color w:val="auto"/>
          <w:spacing w:val="-2"/>
          <w:sz w:val="21"/>
          <w:szCs w:val="21"/>
        </w:rPr>
        <w:t xml:space="preserve"> „Wielkość polskiego rynku wierzytelności. I</w:t>
      </w:r>
      <w:r w:rsidR="00984CAB" w:rsidRPr="00984CAB">
        <w:rPr>
          <w:rFonts w:ascii="Cambria" w:hAnsi="Cambria" w:cs="Calibri"/>
          <w:bCs/>
          <w:iCs/>
          <w:color w:val="auto"/>
          <w:spacing w:val="-2"/>
          <w:sz w:val="21"/>
          <w:szCs w:val="21"/>
        </w:rPr>
        <w:t>I</w:t>
      </w:r>
      <w:r w:rsidR="006860A1" w:rsidRPr="00984CAB">
        <w:rPr>
          <w:rFonts w:ascii="Cambria" w:hAnsi="Cambria" w:cs="Calibri"/>
          <w:bCs/>
          <w:iCs/>
          <w:color w:val="auto"/>
          <w:spacing w:val="-2"/>
          <w:sz w:val="21"/>
          <w:szCs w:val="21"/>
        </w:rPr>
        <w:t xml:space="preserve"> kwartał 2026” na stronie</w:t>
      </w:r>
      <w:r w:rsidR="00FD663A" w:rsidRPr="00984CAB">
        <w:rPr>
          <w:rFonts w:ascii="Cambria" w:hAnsi="Cambria" w:cs="Calibri"/>
          <w:bCs/>
          <w:iCs/>
          <w:color w:val="auto"/>
          <w:spacing w:val="-2"/>
          <w:sz w:val="21"/>
          <w:szCs w:val="21"/>
        </w:rPr>
        <w:t xml:space="preserve">: </w:t>
      </w:r>
      <w:hyperlink r:id="rId7" w:history="1">
        <w:r w:rsidR="00FD663A" w:rsidRPr="00984CAB">
          <w:rPr>
            <w:rStyle w:val="Hipercze"/>
            <w:rFonts w:ascii="Cambria" w:hAnsi="Cambria" w:cs="Calibri"/>
            <w:bCs/>
            <w:iCs/>
            <w:spacing w:val="-2"/>
            <w:sz w:val="21"/>
            <w:szCs w:val="21"/>
          </w:rPr>
          <w:t>https://zpf.pl/wielkosc-polskiego-rynku-wierzytelnosci/</w:t>
        </w:r>
      </w:hyperlink>
    </w:p>
    <w:p w14:paraId="27CEC91E" w14:textId="77777777" w:rsidR="00FC24A5" w:rsidRPr="00984CAB" w:rsidRDefault="00FC24A5" w:rsidP="00984CAB">
      <w:pPr>
        <w:jc w:val="both"/>
        <w:rPr>
          <w:rFonts w:ascii="Cambria" w:hAnsi="Cambria" w:cs="Calibri"/>
          <w:bCs/>
          <w:iCs/>
          <w:color w:val="auto"/>
          <w:spacing w:val="-2"/>
          <w:sz w:val="21"/>
          <w:szCs w:val="21"/>
        </w:rPr>
      </w:pPr>
    </w:p>
    <w:p w14:paraId="17D45948" w14:textId="77777777" w:rsidR="00722487" w:rsidRPr="00984CAB" w:rsidRDefault="00722487" w:rsidP="00984CAB">
      <w:pPr>
        <w:jc w:val="both"/>
        <w:rPr>
          <w:rFonts w:ascii="Cambria" w:hAnsi="Cambria" w:cs="Calibri"/>
          <w:bCs/>
          <w:iCs/>
          <w:color w:val="auto"/>
          <w:spacing w:val="-2"/>
          <w:sz w:val="21"/>
          <w:szCs w:val="21"/>
        </w:rPr>
      </w:pPr>
    </w:p>
    <w:p w14:paraId="0EDE37CB" w14:textId="77777777" w:rsidR="002C6DB1" w:rsidRPr="00984CAB" w:rsidRDefault="002C6DB1" w:rsidP="00984CAB">
      <w:pPr>
        <w:jc w:val="both"/>
        <w:rPr>
          <w:rFonts w:ascii="Cambria" w:hAnsi="Cambria" w:cs="Calibri"/>
          <w:bCs/>
          <w:iCs/>
          <w:color w:val="auto"/>
          <w:spacing w:val="-2"/>
          <w:sz w:val="21"/>
          <w:szCs w:val="21"/>
        </w:rPr>
      </w:pPr>
    </w:p>
    <w:p w14:paraId="203EA17E" w14:textId="77777777" w:rsidR="006F342F" w:rsidRPr="00C56ACB" w:rsidRDefault="006F342F" w:rsidP="00C56ACB">
      <w:pPr>
        <w:jc w:val="center"/>
        <w:rPr>
          <w:rFonts w:ascii="Cambria" w:hAnsi="Cambria" w:cs="Calibri"/>
          <w:bCs/>
          <w:iCs/>
          <w:color w:val="auto"/>
          <w:spacing w:val="-2"/>
          <w:sz w:val="18"/>
          <w:szCs w:val="18"/>
        </w:rPr>
      </w:pPr>
      <w:r w:rsidRPr="00C56ACB">
        <w:rPr>
          <w:rFonts w:ascii="Cambria" w:hAnsi="Cambria" w:cs="Calibri"/>
          <w:bCs/>
          <w:iCs/>
          <w:color w:val="auto"/>
          <w:spacing w:val="-2"/>
          <w:sz w:val="18"/>
          <w:szCs w:val="18"/>
        </w:rPr>
        <w:t>***</w:t>
      </w:r>
    </w:p>
    <w:p w14:paraId="411E3F87" w14:textId="77777777" w:rsidR="0065044E" w:rsidRPr="00C56ACB" w:rsidRDefault="0065044E" w:rsidP="00984CAB">
      <w:pPr>
        <w:jc w:val="both"/>
        <w:rPr>
          <w:rFonts w:ascii="Cambria" w:hAnsi="Cambria"/>
          <w:bCs/>
          <w:sz w:val="18"/>
          <w:szCs w:val="18"/>
        </w:rPr>
      </w:pPr>
    </w:p>
    <w:p w14:paraId="400398A9" w14:textId="77777777" w:rsidR="0065044E" w:rsidRPr="00C56ACB" w:rsidRDefault="0065044E" w:rsidP="00984CAB">
      <w:pPr>
        <w:spacing w:line="276" w:lineRule="auto"/>
        <w:jc w:val="both"/>
        <w:rPr>
          <w:rFonts w:ascii="Cambria" w:hAnsi="Cambria"/>
          <w:bCs/>
          <w:sz w:val="18"/>
          <w:szCs w:val="18"/>
        </w:rPr>
      </w:pPr>
      <w:r w:rsidRPr="00C56ACB">
        <w:rPr>
          <w:rFonts w:ascii="Cambria" w:hAnsi="Cambria"/>
          <w:bCs/>
          <w:sz w:val="18"/>
          <w:szCs w:val="18"/>
        </w:rPr>
        <w:t>Związek Przedsiębiorstw Finansowych w Polsce (wcześniej Konferencja Przedsiębiorstw Finansowych w Polsce) powstał 27 października 1999 roku i obecnie skupia ponad 110 przedsiębiorstw z wielu sektorów polskiego rynku finansowego, w tym bankowości, zarządzania wierzytelnościami, pośredników finansowych, instytucji pożyczkowych, zarządzających informacją gospodarczą, odwróconej hipoteki w modelu sprzedażowym, fintech. Jest największą multisektorową organizacją podmiotów rynku finansowego w Polsce.</w:t>
      </w:r>
    </w:p>
    <w:p w14:paraId="650450C7" w14:textId="77777777" w:rsidR="0065044E" w:rsidRPr="00C56ACB" w:rsidRDefault="0065044E" w:rsidP="00984CAB">
      <w:pPr>
        <w:spacing w:line="276" w:lineRule="auto"/>
        <w:jc w:val="both"/>
        <w:rPr>
          <w:rFonts w:ascii="Cambria" w:hAnsi="Cambria"/>
          <w:bCs/>
          <w:sz w:val="18"/>
          <w:szCs w:val="18"/>
        </w:rPr>
      </w:pPr>
    </w:p>
    <w:p w14:paraId="719BC3C6" w14:textId="77777777" w:rsidR="0065044E" w:rsidRPr="00C56ACB" w:rsidRDefault="0065044E" w:rsidP="00984CAB">
      <w:pPr>
        <w:spacing w:line="276" w:lineRule="auto"/>
        <w:jc w:val="both"/>
        <w:rPr>
          <w:rFonts w:ascii="Cambria" w:hAnsi="Cambria"/>
          <w:bCs/>
          <w:sz w:val="18"/>
          <w:szCs w:val="18"/>
        </w:rPr>
      </w:pPr>
      <w:r w:rsidRPr="00C56ACB">
        <w:rPr>
          <w:rFonts w:ascii="Cambria" w:hAnsi="Cambria"/>
          <w:bCs/>
          <w:sz w:val="18"/>
          <w:szCs w:val="18"/>
        </w:rPr>
        <w:t>Od ponad 25 lat ZPF działa na rzecz rozwoju rynku finansowego w Polsce i podnoszenia standardów etycznych w branży, występuje aktywnie jako partner społeczny w procesach legislacyjnych, a także reprezentuje polskie instytucje finansowe w UE. ZPF to członek dwóch organizacji samorządowych na szczeblu europejskim: EUROFINAS (European Federation of Finance House Associations), zrzeszającej instytucje związane z rynkiem kredytu konsumenckiego w Europie oraz FENCA (Federation of European National Collection Associations), która reprezentuje interesy sektora zarządzania wierzytelnościami w Europie.</w:t>
      </w:r>
    </w:p>
    <w:p w14:paraId="7FB268D4" w14:textId="77777777" w:rsidR="0065044E" w:rsidRPr="00C56ACB" w:rsidRDefault="0065044E" w:rsidP="00984CAB">
      <w:pPr>
        <w:spacing w:line="276" w:lineRule="auto"/>
        <w:jc w:val="both"/>
        <w:rPr>
          <w:rFonts w:ascii="Cambria" w:hAnsi="Cambria"/>
          <w:bCs/>
          <w:sz w:val="18"/>
          <w:szCs w:val="18"/>
        </w:rPr>
      </w:pPr>
    </w:p>
    <w:p w14:paraId="7A6C8E6A" w14:textId="77777777" w:rsidR="0065044E" w:rsidRPr="00C56ACB" w:rsidRDefault="0065044E" w:rsidP="00984CAB">
      <w:pPr>
        <w:spacing w:line="276" w:lineRule="auto"/>
        <w:jc w:val="both"/>
        <w:rPr>
          <w:rFonts w:ascii="Cambria" w:hAnsi="Cambria"/>
          <w:bCs/>
          <w:sz w:val="18"/>
          <w:szCs w:val="18"/>
        </w:rPr>
      </w:pPr>
      <w:r w:rsidRPr="00C56ACB">
        <w:rPr>
          <w:rFonts w:ascii="Cambria" w:hAnsi="Cambria"/>
          <w:bCs/>
          <w:sz w:val="18"/>
          <w:szCs w:val="18"/>
        </w:rPr>
        <w:t>ZPF ma w swoim dorobku badawczym kilkaset raportów branżowych. Jest też organizatorem kongresów, webinarów i innych inicjatyw dla branży finansowej.</w:t>
      </w:r>
    </w:p>
    <w:p w14:paraId="31A06D06" w14:textId="77777777" w:rsidR="0065044E" w:rsidRPr="00C56ACB" w:rsidRDefault="0065044E" w:rsidP="00984CAB">
      <w:pPr>
        <w:jc w:val="both"/>
        <w:rPr>
          <w:rFonts w:ascii="Cambria" w:hAnsi="Cambria"/>
          <w:bCs/>
          <w:sz w:val="18"/>
          <w:szCs w:val="18"/>
        </w:rPr>
      </w:pPr>
    </w:p>
    <w:p w14:paraId="72834409" w14:textId="43D74EF7" w:rsidR="0065044E" w:rsidRPr="00C56ACB" w:rsidRDefault="0065044E" w:rsidP="00984CAB">
      <w:pPr>
        <w:jc w:val="both"/>
        <w:rPr>
          <w:rFonts w:ascii="Cambria" w:hAnsi="Cambria"/>
          <w:bCs/>
          <w:color w:val="000090"/>
          <w:sz w:val="18"/>
          <w:szCs w:val="18"/>
        </w:rPr>
      </w:pPr>
      <w:r w:rsidRPr="00C56ACB">
        <w:rPr>
          <w:rFonts w:ascii="Cambria" w:hAnsi="Cambria"/>
          <w:bCs/>
          <w:noProof/>
          <w:sz w:val="18"/>
          <w:szCs w:val="18"/>
        </w:rPr>
        <w:lastRenderedPageBreak/>
        <w:drawing>
          <wp:anchor distT="0" distB="0" distL="114300" distR="114300" simplePos="0" relativeHeight="251658240" behindDoc="0" locked="0" layoutInCell="1" allowOverlap="1" wp14:anchorId="28938FE2" wp14:editId="2202E24B">
            <wp:simplePos x="0" y="0"/>
            <wp:positionH relativeFrom="margin">
              <wp:align>left</wp:align>
            </wp:positionH>
            <wp:positionV relativeFrom="paragraph">
              <wp:posOffset>74930</wp:posOffset>
            </wp:positionV>
            <wp:extent cx="252095" cy="252095"/>
            <wp:effectExtent l="0" t="0" r="0" b="0"/>
            <wp:wrapSquare wrapText="bothSides"/>
            <wp:docPr id="611109592" name="Obraz 1" descr="Obraz zawierający tekst, clipar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Obraz zawierający tekst, clipart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" cy="252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D60AB3" w14:textId="77777777" w:rsidR="0065044E" w:rsidRPr="00C56ACB" w:rsidRDefault="0065044E" w:rsidP="00984CAB">
      <w:pPr>
        <w:jc w:val="both"/>
        <w:rPr>
          <w:rStyle w:val="Hipercze"/>
          <w:rFonts w:ascii="Cambria" w:eastAsiaTheme="majorEastAsia" w:hAnsi="Cambria"/>
          <w:bCs/>
          <w:sz w:val="18"/>
          <w:szCs w:val="18"/>
        </w:rPr>
      </w:pPr>
      <w:hyperlink r:id="rId9" w:history="1">
        <w:r w:rsidRPr="00C56ACB">
          <w:rPr>
            <w:rStyle w:val="Hipercze"/>
            <w:rFonts w:ascii="Cambria" w:eastAsiaTheme="majorEastAsia" w:hAnsi="Cambria"/>
            <w:bCs/>
            <w:sz w:val="18"/>
            <w:szCs w:val="18"/>
          </w:rPr>
          <w:t>http://www.linkedin.com/company/zpf</w:t>
        </w:r>
      </w:hyperlink>
    </w:p>
    <w:p w14:paraId="1DC618FF" w14:textId="77777777" w:rsidR="006F342F" w:rsidRPr="00984CAB" w:rsidRDefault="006F342F" w:rsidP="00984CAB">
      <w:pPr>
        <w:spacing w:line="276" w:lineRule="auto"/>
        <w:jc w:val="both"/>
        <w:rPr>
          <w:rFonts w:ascii="Cambria" w:hAnsi="Cambria" w:cs="Calibri"/>
          <w:bCs/>
          <w:iCs/>
          <w:color w:val="auto"/>
          <w:spacing w:val="-2"/>
          <w:sz w:val="21"/>
          <w:szCs w:val="21"/>
        </w:rPr>
      </w:pPr>
    </w:p>
    <w:p w14:paraId="17BC34E6" w14:textId="77777777" w:rsidR="0065044E" w:rsidRPr="00984CAB" w:rsidRDefault="0065044E" w:rsidP="00984CAB">
      <w:pPr>
        <w:spacing w:line="276" w:lineRule="auto"/>
        <w:jc w:val="both"/>
        <w:rPr>
          <w:rFonts w:ascii="Cambria" w:hAnsi="Cambria" w:cs="Calibri"/>
          <w:bCs/>
          <w:iCs/>
          <w:color w:val="auto"/>
          <w:spacing w:val="-2"/>
          <w:sz w:val="21"/>
          <w:szCs w:val="21"/>
        </w:rPr>
      </w:pPr>
    </w:p>
    <w:p w14:paraId="5C3CFD44" w14:textId="77777777" w:rsidR="0065044E" w:rsidRPr="00984CAB" w:rsidRDefault="0065044E" w:rsidP="00984CAB">
      <w:pPr>
        <w:spacing w:line="276" w:lineRule="auto"/>
        <w:jc w:val="both"/>
        <w:rPr>
          <w:rFonts w:ascii="Cambria" w:hAnsi="Cambria" w:cs="Calibri"/>
          <w:bCs/>
          <w:iCs/>
          <w:color w:val="auto"/>
          <w:spacing w:val="-2"/>
          <w:sz w:val="21"/>
          <w:szCs w:val="21"/>
        </w:rPr>
      </w:pPr>
    </w:p>
    <w:p w14:paraId="14F78A9B" w14:textId="4F7C2505" w:rsidR="006F342F" w:rsidRPr="00984CAB" w:rsidRDefault="006F342F" w:rsidP="00984CAB">
      <w:pPr>
        <w:jc w:val="both"/>
        <w:rPr>
          <w:rStyle w:val="Hipercze"/>
          <w:rFonts w:ascii="Cambria" w:hAnsi="Cambria" w:cs="Arial"/>
          <w:bCs/>
          <w:color w:val="000090"/>
          <w:sz w:val="21"/>
          <w:szCs w:val="21"/>
          <w:u w:val="none"/>
        </w:rPr>
      </w:pPr>
    </w:p>
    <w:p w14:paraId="778D21EA" w14:textId="77777777" w:rsidR="006F342F" w:rsidRPr="00984CAB" w:rsidRDefault="006F342F" w:rsidP="00984CAB">
      <w:pPr>
        <w:jc w:val="both"/>
        <w:rPr>
          <w:rStyle w:val="Hipercze"/>
          <w:rFonts w:ascii="Cambria" w:hAnsi="Cambria"/>
          <w:bCs/>
          <w:sz w:val="21"/>
          <w:szCs w:val="21"/>
        </w:rPr>
      </w:pPr>
    </w:p>
    <w:p w14:paraId="7C5B0464" w14:textId="77777777" w:rsidR="006F342F" w:rsidRPr="00984CAB" w:rsidRDefault="006F342F" w:rsidP="00984CAB">
      <w:pPr>
        <w:jc w:val="both"/>
        <w:rPr>
          <w:rFonts w:ascii="Cambria" w:hAnsi="Cambria"/>
          <w:bCs/>
          <w:iCs/>
          <w:color w:val="auto"/>
          <w:spacing w:val="-2"/>
          <w:sz w:val="21"/>
          <w:szCs w:val="21"/>
        </w:rPr>
      </w:pPr>
      <w:r w:rsidRPr="00984CAB">
        <w:rPr>
          <w:rFonts w:ascii="Cambria" w:hAnsi="Cambria"/>
          <w:bCs/>
          <w:noProof/>
          <w:sz w:val="21"/>
          <w:szCs w:val="21"/>
        </w:rPr>
        <w:drawing>
          <wp:inline distT="0" distB="0" distL="0" distR="0" wp14:anchorId="207A1346" wp14:editId="5145C27F">
            <wp:extent cx="2369820" cy="601980"/>
            <wp:effectExtent l="0" t="0" r="0" b="7620"/>
            <wp:docPr id="1170994824" name="Obraz 4" descr="Obraz zawierający Grafika, zrzut ekranu, projekt graficzny, Czcionka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0994824" name="Obraz 4" descr="Obraz zawierający Grafika, zrzut ekranu, projekt graficzny, Czcionka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82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29628" w14:textId="77777777" w:rsidR="00047E3C" w:rsidRPr="00984CAB" w:rsidRDefault="00047E3C" w:rsidP="00984CAB">
      <w:pPr>
        <w:jc w:val="both"/>
        <w:rPr>
          <w:rFonts w:ascii="Cambria" w:hAnsi="Cambria"/>
          <w:bCs/>
          <w:sz w:val="21"/>
          <w:szCs w:val="21"/>
        </w:rPr>
      </w:pPr>
    </w:p>
    <w:sectPr w:rsidR="00047E3C" w:rsidRPr="00984CAB" w:rsidSect="006F342F">
      <w:headerReference w:type="default" r:id="rId11"/>
      <w:footerReference w:type="default" r:id="rId12"/>
      <w:pgSz w:w="11906" w:h="16838"/>
      <w:pgMar w:top="1843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BE974" w14:textId="77777777" w:rsidR="00AE51FD" w:rsidRDefault="00AE51FD">
      <w:r>
        <w:separator/>
      </w:r>
    </w:p>
  </w:endnote>
  <w:endnote w:type="continuationSeparator" w:id="0">
    <w:p w14:paraId="0541F0F2" w14:textId="77777777" w:rsidR="00AE51FD" w:rsidRDefault="00AE5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hAnsiTheme="majorHAnsi"/>
        <w:sz w:val="18"/>
        <w:szCs w:val="18"/>
      </w:rPr>
      <w:id w:val="-50545918"/>
      <w:docPartObj>
        <w:docPartGallery w:val="Page Numbers (Bottom of Page)"/>
        <w:docPartUnique/>
      </w:docPartObj>
    </w:sdtPr>
    <w:sdtContent>
      <w:sdt>
        <w:sdtPr>
          <w:rPr>
            <w:rFonts w:asciiTheme="majorHAnsi" w:hAnsiTheme="majorHAnsi"/>
            <w:sz w:val="18"/>
            <w:szCs w:val="18"/>
          </w:rPr>
          <w:id w:val="-1329895559"/>
          <w:docPartObj>
            <w:docPartGallery w:val="Page Numbers (Top of Page)"/>
            <w:docPartUnique/>
          </w:docPartObj>
        </w:sdtPr>
        <w:sdtContent>
          <w:p w14:paraId="02FBD410" w14:textId="77777777" w:rsidR="006F342F" w:rsidRPr="001A0714" w:rsidRDefault="006F342F">
            <w:pPr>
              <w:pStyle w:val="Stopka"/>
              <w:jc w:val="right"/>
              <w:rPr>
                <w:rFonts w:asciiTheme="majorHAnsi" w:hAnsiTheme="majorHAnsi"/>
                <w:sz w:val="18"/>
                <w:szCs w:val="18"/>
              </w:rPr>
            </w:pPr>
            <w:r w:rsidRPr="001A0714">
              <w:rPr>
                <w:rFonts w:asciiTheme="majorHAnsi" w:hAnsiTheme="majorHAnsi"/>
                <w:noProof/>
                <w:sz w:val="18"/>
                <w:szCs w:val="18"/>
              </w:rPr>
              <w:drawing>
                <wp:anchor distT="0" distB="0" distL="114300" distR="114300" simplePos="0" relativeHeight="251658240" behindDoc="0" locked="0" layoutInCell="1" allowOverlap="1" wp14:anchorId="1B45800B" wp14:editId="544DF139">
                  <wp:simplePos x="0" y="0"/>
                  <wp:positionH relativeFrom="column">
                    <wp:posOffset>-900430</wp:posOffset>
                  </wp:positionH>
                  <wp:positionV relativeFrom="paragraph">
                    <wp:posOffset>-178435</wp:posOffset>
                  </wp:positionV>
                  <wp:extent cx="5732145" cy="748030"/>
                  <wp:effectExtent l="0" t="0" r="0" b="0"/>
                  <wp:wrapNone/>
                  <wp:docPr id="10" name="Obraz 10" descr="D:\Dokumenty KPF\GRAFIKA\_ZPF_Identyfikacja wizualna\ZPF_DOKUMENTY\ZPF_stopka-bez-eur-25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Dokumenty KPF\GRAFIKA\_ZPF_Identyfikacja wizualna\ZPF_DOKUMENTY\ZPF_stopka-bez-eur-25.wm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42" t="-3" r="30226" b="3160"/>
                          <a:stretch/>
                        </pic:blipFill>
                        <pic:spPr bwMode="auto">
                          <a:xfrm>
                            <a:off x="0" y="0"/>
                            <a:ext cx="5732145" cy="748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A0714">
              <w:rPr>
                <w:rFonts w:asciiTheme="majorHAnsi" w:hAnsiTheme="majorHAnsi"/>
                <w:sz w:val="18"/>
                <w:szCs w:val="18"/>
              </w:rPr>
              <w:t xml:space="preserve">Strona </w:t>
            </w:r>
            <w:r w:rsidRPr="001A0714">
              <w:rPr>
                <w:rFonts w:asciiTheme="majorHAnsi" w:hAnsiTheme="majorHAnsi"/>
                <w:sz w:val="18"/>
                <w:szCs w:val="18"/>
              </w:rPr>
              <w:fldChar w:fldCharType="begin"/>
            </w:r>
            <w:r w:rsidRPr="001A0714">
              <w:rPr>
                <w:rFonts w:asciiTheme="majorHAnsi" w:hAnsiTheme="majorHAnsi"/>
                <w:sz w:val="18"/>
                <w:szCs w:val="18"/>
              </w:rPr>
              <w:instrText>PAGE</w:instrText>
            </w:r>
            <w:r w:rsidRPr="001A0714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Pr="001A0714">
              <w:rPr>
                <w:rFonts w:asciiTheme="majorHAnsi" w:hAnsiTheme="majorHAnsi"/>
                <w:sz w:val="18"/>
                <w:szCs w:val="18"/>
              </w:rPr>
              <w:t>3</w:t>
            </w:r>
            <w:r w:rsidRPr="001A0714"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r w:rsidRPr="001A0714">
              <w:rPr>
                <w:rFonts w:asciiTheme="majorHAnsi" w:hAnsiTheme="majorHAnsi"/>
                <w:sz w:val="18"/>
                <w:szCs w:val="18"/>
              </w:rPr>
              <w:t xml:space="preserve"> z </w:t>
            </w:r>
            <w:r w:rsidRPr="001A0714">
              <w:rPr>
                <w:rFonts w:asciiTheme="majorHAnsi" w:hAnsiTheme="majorHAnsi"/>
                <w:sz w:val="18"/>
                <w:szCs w:val="18"/>
              </w:rPr>
              <w:fldChar w:fldCharType="begin"/>
            </w:r>
            <w:r w:rsidRPr="001A0714">
              <w:rPr>
                <w:rFonts w:asciiTheme="majorHAnsi" w:hAnsiTheme="majorHAnsi"/>
                <w:sz w:val="18"/>
                <w:szCs w:val="18"/>
              </w:rPr>
              <w:instrText>NUMPAGES</w:instrText>
            </w:r>
            <w:r w:rsidRPr="001A0714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Pr="001A0714">
              <w:rPr>
                <w:rFonts w:asciiTheme="majorHAnsi" w:hAnsiTheme="majorHAnsi"/>
                <w:sz w:val="18"/>
                <w:szCs w:val="18"/>
              </w:rPr>
              <w:t>3</w:t>
            </w:r>
            <w:r w:rsidRPr="001A0714">
              <w:rPr>
                <w:rFonts w:asciiTheme="majorHAnsi" w:hAnsiTheme="majorHAnsi"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9933F" w14:textId="77777777" w:rsidR="00AE51FD" w:rsidRDefault="00AE51FD">
      <w:r>
        <w:separator/>
      </w:r>
    </w:p>
  </w:footnote>
  <w:footnote w:type="continuationSeparator" w:id="0">
    <w:p w14:paraId="34CA7988" w14:textId="77777777" w:rsidR="00AE51FD" w:rsidRDefault="00AE51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B9BAF" w14:textId="77777777" w:rsidR="006F342F" w:rsidRPr="001A0714" w:rsidRDefault="006F342F">
    <w:pPr>
      <w:pStyle w:val="Nagwek"/>
    </w:pPr>
    <w:r w:rsidRPr="001A0714">
      <w:rPr>
        <w:rFonts w:asciiTheme="minorHAnsi" w:hAnsiTheme="minorHAnsi"/>
        <w:noProof/>
        <w:color w:val="1C2442"/>
      </w:rPr>
      <w:drawing>
        <wp:inline distT="0" distB="0" distL="0" distR="0" wp14:anchorId="69AEBC12" wp14:editId="6F71FCCA">
          <wp:extent cx="1963973" cy="461729"/>
          <wp:effectExtent l="0" t="0" r="0" b="0"/>
          <wp:docPr id="9" name="Obraz 9" descr="D:\Dokumenty KPF\GRAFIKA\_ZPF_Identyfikacja wizualna\logo-zpf-wmf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Dokumenty KPF\GRAFIKA\_ZPF_Identyfikacja wizualna\logo-zpf-wmf.wm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2095" cy="4636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972"/>
    <w:rsid w:val="00002253"/>
    <w:rsid w:val="000045AA"/>
    <w:rsid w:val="0001349E"/>
    <w:rsid w:val="0001654C"/>
    <w:rsid w:val="00021A13"/>
    <w:rsid w:val="00027096"/>
    <w:rsid w:val="00037715"/>
    <w:rsid w:val="00046861"/>
    <w:rsid w:val="00047E3C"/>
    <w:rsid w:val="00063B34"/>
    <w:rsid w:val="00071F3A"/>
    <w:rsid w:val="000747E2"/>
    <w:rsid w:val="000764A8"/>
    <w:rsid w:val="00077387"/>
    <w:rsid w:val="000870A6"/>
    <w:rsid w:val="00087B2C"/>
    <w:rsid w:val="00091189"/>
    <w:rsid w:val="0009382D"/>
    <w:rsid w:val="000A2B7B"/>
    <w:rsid w:val="000A2D2B"/>
    <w:rsid w:val="000B2FE0"/>
    <w:rsid w:val="000C37AE"/>
    <w:rsid w:val="000C3DB7"/>
    <w:rsid w:val="000C3F44"/>
    <w:rsid w:val="000C6EE6"/>
    <w:rsid w:val="000D19B0"/>
    <w:rsid w:val="000E1C75"/>
    <w:rsid w:val="000E7CAC"/>
    <w:rsid w:val="000F5F5B"/>
    <w:rsid w:val="0010471C"/>
    <w:rsid w:val="001118FC"/>
    <w:rsid w:val="00115117"/>
    <w:rsid w:val="0012371C"/>
    <w:rsid w:val="00133DB5"/>
    <w:rsid w:val="00135D23"/>
    <w:rsid w:val="00161557"/>
    <w:rsid w:val="00163FB0"/>
    <w:rsid w:val="00166049"/>
    <w:rsid w:val="00172E59"/>
    <w:rsid w:val="00192434"/>
    <w:rsid w:val="00192EBD"/>
    <w:rsid w:val="001A22CE"/>
    <w:rsid w:val="001A3923"/>
    <w:rsid w:val="001A7604"/>
    <w:rsid w:val="001A7A1E"/>
    <w:rsid w:val="001B2FFF"/>
    <w:rsid w:val="001D1F6F"/>
    <w:rsid w:val="001D4DA6"/>
    <w:rsid w:val="001E0126"/>
    <w:rsid w:val="00202A6A"/>
    <w:rsid w:val="00211021"/>
    <w:rsid w:val="00222BCB"/>
    <w:rsid w:val="00223566"/>
    <w:rsid w:val="00273D81"/>
    <w:rsid w:val="002754A4"/>
    <w:rsid w:val="00277308"/>
    <w:rsid w:val="00277FE2"/>
    <w:rsid w:val="00280E7F"/>
    <w:rsid w:val="00284282"/>
    <w:rsid w:val="00287850"/>
    <w:rsid w:val="00290404"/>
    <w:rsid w:val="00293826"/>
    <w:rsid w:val="002979D1"/>
    <w:rsid w:val="002A45E3"/>
    <w:rsid w:val="002B3C65"/>
    <w:rsid w:val="002B4CE2"/>
    <w:rsid w:val="002B5982"/>
    <w:rsid w:val="002B7A4C"/>
    <w:rsid w:val="002C0CBF"/>
    <w:rsid w:val="002C50B6"/>
    <w:rsid w:val="002C6DB1"/>
    <w:rsid w:val="002D2BCF"/>
    <w:rsid w:val="002D59B1"/>
    <w:rsid w:val="002D7833"/>
    <w:rsid w:val="003106CA"/>
    <w:rsid w:val="00317C37"/>
    <w:rsid w:val="00324EE7"/>
    <w:rsid w:val="0032608D"/>
    <w:rsid w:val="00331404"/>
    <w:rsid w:val="0033702E"/>
    <w:rsid w:val="00342C73"/>
    <w:rsid w:val="0034516A"/>
    <w:rsid w:val="00345891"/>
    <w:rsid w:val="00345D23"/>
    <w:rsid w:val="0035082B"/>
    <w:rsid w:val="00366864"/>
    <w:rsid w:val="00373AB7"/>
    <w:rsid w:val="003773C0"/>
    <w:rsid w:val="00380DFD"/>
    <w:rsid w:val="003833A9"/>
    <w:rsid w:val="0039407C"/>
    <w:rsid w:val="003B18C4"/>
    <w:rsid w:val="003B22B4"/>
    <w:rsid w:val="003B6BFD"/>
    <w:rsid w:val="003C2947"/>
    <w:rsid w:val="003C600B"/>
    <w:rsid w:val="003D37D9"/>
    <w:rsid w:val="003E6779"/>
    <w:rsid w:val="003F742D"/>
    <w:rsid w:val="00401CD8"/>
    <w:rsid w:val="00402837"/>
    <w:rsid w:val="00403C68"/>
    <w:rsid w:val="00407B82"/>
    <w:rsid w:val="004122F6"/>
    <w:rsid w:val="004127C7"/>
    <w:rsid w:val="00417BA6"/>
    <w:rsid w:val="00421374"/>
    <w:rsid w:val="00432028"/>
    <w:rsid w:val="004324A0"/>
    <w:rsid w:val="004368E8"/>
    <w:rsid w:val="00463197"/>
    <w:rsid w:val="00463323"/>
    <w:rsid w:val="00471DD3"/>
    <w:rsid w:val="00475880"/>
    <w:rsid w:val="0047698C"/>
    <w:rsid w:val="00482E07"/>
    <w:rsid w:val="004849F6"/>
    <w:rsid w:val="00493E72"/>
    <w:rsid w:val="00494BC3"/>
    <w:rsid w:val="004A0D1A"/>
    <w:rsid w:val="004A4276"/>
    <w:rsid w:val="004B0A51"/>
    <w:rsid w:val="004C1381"/>
    <w:rsid w:val="004C65E9"/>
    <w:rsid w:val="004D2142"/>
    <w:rsid w:val="004D21D2"/>
    <w:rsid w:val="004D4005"/>
    <w:rsid w:val="004D4C56"/>
    <w:rsid w:val="004E1153"/>
    <w:rsid w:val="004E3305"/>
    <w:rsid w:val="004E4320"/>
    <w:rsid w:val="004E5551"/>
    <w:rsid w:val="004F1CA4"/>
    <w:rsid w:val="004F29DC"/>
    <w:rsid w:val="00503F41"/>
    <w:rsid w:val="0051584F"/>
    <w:rsid w:val="00516A99"/>
    <w:rsid w:val="00524787"/>
    <w:rsid w:val="005402DA"/>
    <w:rsid w:val="0055151D"/>
    <w:rsid w:val="00555C2D"/>
    <w:rsid w:val="00582A18"/>
    <w:rsid w:val="0059099C"/>
    <w:rsid w:val="005958A0"/>
    <w:rsid w:val="005B706F"/>
    <w:rsid w:val="005D6A91"/>
    <w:rsid w:val="005E75D0"/>
    <w:rsid w:val="00600712"/>
    <w:rsid w:val="0060096A"/>
    <w:rsid w:val="006026DC"/>
    <w:rsid w:val="00621466"/>
    <w:rsid w:val="006215EA"/>
    <w:rsid w:val="0064104D"/>
    <w:rsid w:val="00641109"/>
    <w:rsid w:val="00642D09"/>
    <w:rsid w:val="0064313B"/>
    <w:rsid w:val="0065044E"/>
    <w:rsid w:val="00653584"/>
    <w:rsid w:val="00654A54"/>
    <w:rsid w:val="00662CF8"/>
    <w:rsid w:val="00666831"/>
    <w:rsid w:val="0066746D"/>
    <w:rsid w:val="0067127E"/>
    <w:rsid w:val="00674383"/>
    <w:rsid w:val="00684210"/>
    <w:rsid w:val="006860A1"/>
    <w:rsid w:val="00692840"/>
    <w:rsid w:val="00694567"/>
    <w:rsid w:val="006A551D"/>
    <w:rsid w:val="006C0C3D"/>
    <w:rsid w:val="006C1183"/>
    <w:rsid w:val="006C360E"/>
    <w:rsid w:val="006C7409"/>
    <w:rsid w:val="006D34FE"/>
    <w:rsid w:val="006D5736"/>
    <w:rsid w:val="006D7E13"/>
    <w:rsid w:val="006F342F"/>
    <w:rsid w:val="00707472"/>
    <w:rsid w:val="00712641"/>
    <w:rsid w:val="007131CE"/>
    <w:rsid w:val="007132F2"/>
    <w:rsid w:val="00714EBB"/>
    <w:rsid w:val="00722487"/>
    <w:rsid w:val="00725468"/>
    <w:rsid w:val="00726FC7"/>
    <w:rsid w:val="007278FF"/>
    <w:rsid w:val="00735AB0"/>
    <w:rsid w:val="00740778"/>
    <w:rsid w:val="007412A4"/>
    <w:rsid w:val="007456CE"/>
    <w:rsid w:val="00750BE1"/>
    <w:rsid w:val="00754F8F"/>
    <w:rsid w:val="007712B5"/>
    <w:rsid w:val="00777671"/>
    <w:rsid w:val="00786875"/>
    <w:rsid w:val="00795DA0"/>
    <w:rsid w:val="00795E50"/>
    <w:rsid w:val="007A2912"/>
    <w:rsid w:val="007C2ACD"/>
    <w:rsid w:val="007C4559"/>
    <w:rsid w:val="007E674D"/>
    <w:rsid w:val="008035D2"/>
    <w:rsid w:val="00822E92"/>
    <w:rsid w:val="00823614"/>
    <w:rsid w:val="00832BF9"/>
    <w:rsid w:val="00836B87"/>
    <w:rsid w:val="008467E6"/>
    <w:rsid w:val="008468BE"/>
    <w:rsid w:val="00862BCC"/>
    <w:rsid w:val="00863EAE"/>
    <w:rsid w:val="0087078E"/>
    <w:rsid w:val="00872BBF"/>
    <w:rsid w:val="00876647"/>
    <w:rsid w:val="00886E46"/>
    <w:rsid w:val="008923A4"/>
    <w:rsid w:val="00893FAB"/>
    <w:rsid w:val="0089694A"/>
    <w:rsid w:val="008A35FB"/>
    <w:rsid w:val="008B0D0D"/>
    <w:rsid w:val="008D06D3"/>
    <w:rsid w:val="008D5BBD"/>
    <w:rsid w:val="008D72B8"/>
    <w:rsid w:val="008D7D82"/>
    <w:rsid w:val="008F2115"/>
    <w:rsid w:val="009247AA"/>
    <w:rsid w:val="00925D8F"/>
    <w:rsid w:val="00927DDA"/>
    <w:rsid w:val="00932C66"/>
    <w:rsid w:val="0093375F"/>
    <w:rsid w:val="00940B47"/>
    <w:rsid w:val="0097020C"/>
    <w:rsid w:val="0097208B"/>
    <w:rsid w:val="00974CDB"/>
    <w:rsid w:val="00982748"/>
    <w:rsid w:val="00984CAB"/>
    <w:rsid w:val="009A3330"/>
    <w:rsid w:val="009A5DB1"/>
    <w:rsid w:val="009A5DF1"/>
    <w:rsid w:val="009B082A"/>
    <w:rsid w:val="009B7871"/>
    <w:rsid w:val="009C4D8B"/>
    <w:rsid w:val="009C511E"/>
    <w:rsid w:val="009C5C23"/>
    <w:rsid w:val="009C650C"/>
    <w:rsid w:val="009D3028"/>
    <w:rsid w:val="009E0B01"/>
    <w:rsid w:val="009E2F6A"/>
    <w:rsid w:val="009E3209"/>
    <w:rsid w:val="009E78BF"/>
    <w:rsid w:val="009F1B89"/>
    <w:rsid w:val="009F1CD9"/>
    <w:rsid w:val="00A1051E"/>
    <w:rsid w:val="00A1624A"/>
    <w:rsid w:val="00A21201"/>
    <w:rsid w:val="00A21A21"/>
    <w:rsid w:val="00A22272"/>
    <w:rsid w:val="00A31345"/>
    <w:rsid w:val="00A424BC"/>
    <w:rsid w:val="00A533BE"/>
    <w:rsid w:val="00A55087"/>
    <w:rsid w:val="00A64556"/>
    <w:rsid w:val="00A71DF3"/>
    <w:rsid w:val="00A72834"/>
    <w:rsid w:val="00A80EE7"/>
    <w:rsid w:val="00A819A1"/>
    <w:rsid w:val="00A82BF2"/>
    <w:rsid w:val="00A9025A"/>
    <w:rsid w:val="00AA0C8D"/>
    <w:rsid w:val="00AC5271"/>
    <w:rsid w:val="00AC53B1"/>
    <w:rsid w:val="00AC572E"/>
    <w:rsid w:val="00AD2BF7"/>
    <w:rsid w:val="00AD49DB"/>
    <w:rsid w:val="00AE1381"/>
    <w:rsid w:val="00AE51FD"/>
    <w:rsid w:val="00B03F8D"/>
    <w:rsid w:val="00B05512"/>
    <w:rsid w:val="00B11D70"/>
    <w:rsid w:val="00B12BF3"/>
    <w:rsid w:val="00B31DA5"/>
    <w:rsid w:val="00B4216C"/>
    <w:rsid w:val="00B42F22"/>
    <w:rsid w:val="00B5181D"/>
    <w:rsid w:val="00B770F8"/>
    <w:rsid w:val="00B95A74"/>
    <w:rsid w:val="00B96C90"/>
    <w:rsid w:val="00BA1EC7"/>
    <w:rsid w:val="00BA4DBE"/>
    <w:rsid w:val="00BA56BF"/>
    <w:rsid w:val="00BA57F0"/>
    <w:rsid w:val="00BA6360"/>
    <w:rsid w:val="00BB332F"/>
    <w:rsid w:val="00BC3576"/>
    <w:rsid w:val="00BC5B52"/>
    <w:rsid w:val="00BD5288"/>
    <w:rsid w:val="00BE0E0C"/>
    <w:rsid w:val="00BF534E"/>
    <w:rsid w:val="00BF6788"/>
    <w:rsid w:val="00BF7182"/>
    <w:rsid w:val="00C07617"/>
    <w:rsid w:val="00C17E23"/>
    <w:rsid w:val="00C302B3"/>
    <w:rsid w:val="00C30DEA"/>
    <w:rsid w:val="00C3527D"/>
    <w:rsid w:val="00C37831"/>
    <w:rsid w:val="00C40DE9"/>
    <w:rsid w:val="00C52D81"/>
    <w:rsid w:val="00C53807"/>
    <w:rsid w:val="00C55B1B"/>
    <w:rsid w:val="00C56ACB"/>
    <w:rsid w:val="00C71EED"/>
    <w:rsid w:val="00C752BC"/>
    <w:rsid w:val="00C814FB"/>
    <w:rsid w:val="00C82019"/>
    <w:rsid w:val="00C85A3F"/>
    <w:rsid w:val="00CB16E8"/>
    <w:rsid w:val="00CB62A6"/>
    <w:rsid w:val="00CC0BBF"/>
    <w:rsid w:val="00CC207D"/>
    <w:rsid w:val="00CC3CF4"/>
    <w:rsid w:val="00CC7972"/>
    <w:rsid w:val="00CD5274"/>
    <w:rsid w:val="00CD6B8E"/>
    <w:rsid w:val="00CE480F"/>
    <w:rsid w:val="00CE73D6"/>
    <w:rsid w:val="00CF0074"/>
    <w:rsid w:val="00CF1903"/>
    <w:rsid w:val="00CF27FA"/>
    <w:rsid w:val="00CF5314"/>
    <w:rsid w:val="00D067A0"/>
    <w:rsid w:val="00D21A8A"/>
    <w:rsid w:val="00D23BC4"/>
    <w:rsid w:val="00D4749F"/>
    <w:rsid w:val="00D4787F"/>
    <w:rsid w:val="00D52C85"/>
    <w:rsid w:val="00D71C36"/>
    <w:rsid w:val="00D85409"/>
    <w:rsid w:val="00D87ABB"/>
    <w:rsid w:val="00DA19B3"/>
    <w:rsid w:val="00DB2915"/>
    <w:rsid w:val="00DB298E"/>
    <w:rsid w:val="00DD4014"/>
    <w:rsid w:val="00DD4922"/>
    <w:rsid w:val="00DE172B"/>
    <w:rsid w:val="00DE19F4"/>
    <w:rsid w:val="00DF2F24"/>
    <w:rsid w:val="00E0332A"/>
    <w:rsid w:val="00E05849"/>
    <w:rsid w:val="00E1770D"/>
    <w:rsid w:val="00E20C5B"/>
    <w:rsid w:val="00E20D8C"/>
    <w:rsid w:val="00E319EA"/>
    <w:rsid w:val="00E32EF3"/>
    <w:rsid w:val="00E361D7"/>
    <w:rsid w:val="00E407C7"/>
    <w:rsid w:val="00E62784"/>
    <w:rsid w:val="00E87E98"/>
    <w:rsid w:val="00E90EF8"/>
    <w:rsid w:val="00E92E5F"/>
    <w:rsid w:val="00EA2B9B"/>
    <w:rsid w:val="00EA34C4"/>
    <w:rsid w:val="00EB3176"/>
    <w:rsid w:val="00EB5A8F"/>
    <w:rsid w:val="00EC545C"/>
    <w:rsid w:val="00EC65D3"/>
    <w:rsid w:val="00EC6A52"/>
    <w:rsid w:val="00EC77FD"/>
    <w:rsid w:val="00ED4AEF"/>
    <w:rsid w:val="00ED586C"/>
    <w:rsid w:val="00EE005D"/>
    <w:rsid w:val="00EE41BA"/>
    <w:rsid w:val="00EE6098"/>
    <w:rsid w:val="00EF583E"/>
    <w:rsid w:val="00F004B8"/>
    <w:rsid w:val="00F010B0"/>
    <w:rsid w:val="00F070F9"/>
    <w:rsid w:val="00F077A0"/>
    <w:rsid w:val="00F15DF2"/>
    <w:rsid w:val="00F17973"/>
    <w:rsid w:val="00F22B1A"/>
    <w:rsid w:val="00F26DD7"/>
    <w:rsid w:val="00F31038"/>
    <w:rsid w:val="00F32614"/>
    <w:rsid w:val="00F34637"/>
    <w:rsid w:val="00F41C0B"/>
    <w:rsid w:val="00F52D05"/>
    <w:rsid w:val="00F54498"/>
    <w:rsid w:val="00FC24A5"/>
    <w:rsid w:val="00FC4C41"/>
    <w:rsid w:val="00FC78DD"/>
    <w:rsid w:val="00FC7941"/>
    <w:rsid w:val="00FD2551"/>
    <w:rsid w:val="00FD330D"/>
    <w:rsid w:val="00FD5540"/>
    <w:rsid w:val="00FD62BC"/>
    <w:rsid w:val="00FD663A"/>
    <w:rsid w:val="00FD6C34"/>
    <w:rsid w:val="00FD79B1"/>
    <w:rsid w:val="00FE4448"/>
    <w:rsid w:val="00FE6BC4"/>
    <w:rsid w:val="00FF3F2D"/>
    <w:rsid w:val="00FF60A6"/>
    <w:rsid w:val="00FF6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55263"/>
  <w15:chartTrackingRefBased/>
  <w15:docId w15:val="{76A52E5D-0D3D-410C-9CF5-C6D1824A2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342F"/>
    <w:pPr>
      <w:spacing w:after="0" w:line="240" w:lineRule="auto"/>
    </w:pPr>
    <w:rPr>
      <w:rFonts w:ascii="Trebuchet MS" w:eastAsia="Times New Roman" w:hAnsi="Trebuchet MS" w:cs="Arial"/>
      <w:color w:val="000000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797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797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797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797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797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797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797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797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797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79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79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79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797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797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797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797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797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797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C7972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C79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797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C79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C797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C797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C797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C797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79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797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C797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rsid w:val="006F34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F342F"/>
    <w:rPr>
      <w:rFonts w:ascii="Trebuchet MS" w:eastAsia="Times New Roman" w:hAnsi="Trebuchet MS" w:cs="Arial"/>
      <w:color w:val="000000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rsid w:val="006F34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F342F"/>
    <w:rPr>
      <w:rFonts w:ascii="Trebuchet MS" w:eastAsia="Times New Roman" w:hAnsi="Trebuchet MS" w:cs="Arial"/>
      <w:color w:val="000000"/>
      <w:kern w:val="0"/>
      <w:sz w:val="20"/>
      <w:szCs w:val="20"/>
      <w:lang w:eastAsia="pl-PL"/>
      <w14:ligatures w14:val="none"/>
    </w:rPr>
  </w:style>
  <w:style w:type="character" w:styleId="Hipercze">
    <w:name w:val="Hyperlink"/>
    <w:semiHidden/>
    <w:rsid w:val="006F342F"/>
    <w:rPr>
      <w:rFonts w:cs="Times New Roman"/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E319EA"/>
    <w:pPr>
      <w:spacing w:before="100" w:beforeAutospacing="1" w:after="100" w:afterAutospacing="1"/>
    </w:pPr>
    <w:rPr>
      <w:rFonts w:ascii="Times New Roman" w:hAnsi="Times New Roman" w:cs="Times New Roman"/>
      <w:color w:val="auto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2361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23614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823614"/>
    <w:rPr>
      <w:rFonts w:ascii="Trebuchet MS" w:eastAsia="Times New Roman" w:hAnsi="Trebuchet MS" w:cs="Arial"/>
      <w:color w:val="000000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2361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23614"/>
    <w:rPr>
      <w:rFonts w:ascii="Trebuchet MS" w:eastAsia="Times New Roman" w:hAnsi="Trebuchet MS" w:cs="Arial"/>
      <w:b/>
      <w:bCs/>
      <w:color w:val="000000"/>
      <w:kern w:val="0"/>
      <w:sz w:val="20"/>
      <w:szCs w:val="20"/>
      <w:lang w:eastAsia="pl-PL"/>
      <w14:ligatures w14:val="none"/>
    </w:rPr>
  </w:style>
  <w:style w:type="paragraph" w:styleId="Poprawka">
    <w:name w:val="Revision"/>
    <w:hidden/>
    <w:uiPriority w:val="99"/>
    <w:semiHidden/>
    <w:rsid w:val="00223566"/>
    <w:pPr>
      <w:spacing w:after="0" w:line="240" w:lineRule="auto"/>
    </w:pPr>
    <w:rPr>
      <w:rFonts w:ascii="Trebuchet MS" w:eastAsia="Times New Roman" w:hAnsi="Trebuchet MS" w:cs="Arial"/>
      <w:color w:val="000000"/>
      <w:kern w:val="0"/>
      <w:sz w:val="20"/>
      <w:szCs w:val="20"/>
      <w:lang w:eastAsia="pl-PL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B2915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C6A52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C6A52"/>
    <w:rPr>
      <w:rFonts w:ascii="Trebuchet MS" w:eastAsia="Times New Roman" w:hAnsi="Trebuchet MS" w:cs="Arial"/>
      <w:color w:val="000000"/>
      <w:kern w:val="0"/>
      <w:sz w:val="20"/>
      <w:szCs w:val="20"/>
      <w:lang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C6A52"/>
    <w:rPr>
      <w:vertAlign w:val="superscript"/>
    </w:rPr>
  </w:style>
  <w:style w:type="table" w:styleId="Tabela-Siatka">
    <w:name w:val="Table Grid"/>
    <w:basedOn w:val="Standardowy"/>
    <w:rsid w:val="007A29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zpf.pl/wielkosc-polskiego-rynku-wierzytelnosci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://www.linkedin.com/company/zpf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073A51-9BDB-44B8-A38A-5E7AFED60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857</Words>
  <Characters>5144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5990</CharactersWithSpaces>
  <SharedDoc>false</SharedDoc>
  <HLinks>
    <vt:vector size="12" baseType="variant">
      <vt:variant>
        <vt:i4>6619194</vt:i4>
      </vt:variant>
      <vt:variant>
        <vt:i4>3</vt:i4>
      </vt:variant>
      <vt:variant>
        <vt:i4>0</vt:i4>
      </vt:variant>
      <vt:variant>
        <vt:i4>5</vt:i4>
      </vt:variant>
      <vt:variant>
        <vt:lpwstr>http://www.linkedin.com/company/zpf</vt:lpwstr>
      </vt:variant>
      <vt:variant>
        <vt:lpwstr/>
      </vt:variant>
      <vt:variant>
        <vt:i4>7798882</vt:i4>
      </vt:variant>
      <vt:variant>
        <vt:i4>0</vt:i4>
      </vt:variant>
      <vt:variant>
        <vt:i4>0</vt:i4>
      </vt:variant>
      <vt:variant>
        <vt:i4>5</vt:i4>
      </vt:variant>
      <vt:variant>
        <vt:lpwstr>https://zpf.pl/wielkosc-polskiego-rynku-wierzytelnosci/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Frąckowiak</dc:creator>
  <cp:keywords/>
  <dc:description/>
  <cp:lastModifiedBy>Agnieszka Frąckowiak</cp:lastModifiedBy>
  <cp:revision>9</cp:revision>
  <cp:lastPrinted>2026-07-23T14:34:00Z</cp:lastPrinted>
  <dcterms:created xsi:type="dcterms:W3CDTF">2026-10-06T10:00:00Z</dcterms:created>
  <dcterms:modified xsi:type="dcterms:W3CDTF">2026-10-09T07:23:00Z</dcterms:modified>
</cp:coreProperties>
</file>