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E8FBF" w14:textId="77777777" w:rsidR="00944E16" w:rsidRDefault="00944E16" w:rsidP="00944E16">
      <w:pPr>
        <w:jc w:val="center"/>
        <w:rPr>
          <w:rFonts w:ascii="Arial" w:hAnsi="Arial"/>
          <w:b/>
          <w:bCs/>
          <w:sz w:val="32"/>
          <w:szCs w:val="32"/>
        </w:rPr>
      </w:pPr>
      <w:r w:rsidRPr="00944E16">
        <w:rPr>
          <w:rFonts w:ascii="Arial" w:hAnsi="Arial"/>
          <w:b/>
          <w:bCs/>
          <w:sz w:val="32"/>
          <w:szCs w:val="32"/>
        </w:rPr>
        <w:t>Align Technology prezentuje nowe innowacje ortodontyczne wspierające planowanie leczenia Invisalign</w:t>
      </w:r>
      <w:r w:rsidRPr="00944E16">
        <w:rPr>
          <w:rFonts w:ascii="Arial" w:hAnsi="Arial"/>
          <w:b/>
          <w:bCs/>
          <w:sz w:val="32"/>
          <w:szCs w:val="32"/>
          <w:vertAlign w:val="superscript"/>
        </w:rPr>
        <w:t>®</w:t>
      </w:r>
      <w:r w:rsidRPr="00944E16">
        <w:rPr>
          <w:rFonts w:ascii="Arial" w:hAnsi="Arial"/>
          <w:b/>
          <w:bCs/>
          <w:sz w:val="32"/>
          <w:szCs w:val="32"/>
        </w:rPr>
        <w:t>, wizualizację jego efektów i zaangażowanie pacjentów</w:t>
      </w:r>
    </w:p>
    <w:p w14:paraId="4677275A" w14:textId="77777777" w:rsidR="00944E16" w:rsidRDefault="00944E16" w:rsidP="00944E16">
      <w:pPr>
        <w:jc w:val="center"/>
        <w:rPr>
          <w:rFonts w:ascii="Arial" w:hAnsi="Arial"/>
          <w:b/>
          <w:bCs/>
          <w:sz w:val="32"/>
          <w:szCs w:val="32"/>
        </w:rPr>
      </w:pPr>
    </w:p>
    <w:p w14:paraId="6090B4F3" w14:textId="048BE786" w:rsidR="00944E16" w:rsidRDefault="00944E16" w:rsidP="00944E16">
      <w:pPr>
        <w:jc w:val="both"/>
        <w:rPr>
          <w:rFonts w:ascii="Arial" w:hAnsi="Arial"/>
          <w:b/>
          <w:bCs/>
          <w:sz w:val="24"/>
          <w:szCs w:val="24"/>
        </w:rPr>
      </w:pPr>
      <w:r w:rsidRPr="00944E16">
        <w:rPr>
          <w:rFonts w:ascii="Arial" w:hAnsi="Arial"/>
          <w:b/>
          <w:bCs/>
          <w:sz w:val="24"/>
          <w:szCs w:val="24"/>
        </w:rPr>
        <w:t>Nowa animacja tkanek 3D w ClinCheck</w:t>
      </w:r>
      <w:r w:rsidRPr="00944E16">
        <w:rPr>
          <w:rFonts w:ascii="Arial" w:hAnsi="Arial"/>
          <w:b/>
          <w:bCs/>
          <w:sz w:val="24"/>
          <w:szCs w:val="24"/>
          <w:vertAlign w:val="superscript"/>
        </w:rPr>
        <w:t>®</w:t>
      </w:r>
      <w:r w:rsidRPr="00944E16">
        <w:rPr>
          <w:rFonts w:ascii="Arial" w:hAnsi="Arial"/>
          <w:b/>
          <w:bCs/>
          <w:sz w:val="24"/>
          <w:szCs w:val="24"/>
        </w:rPr>
        <w:t>, rozszerzone funkcje Invisalign</w:t>
      </w:r>
      <w:r w:rsidRPr="00212102">
        <w:rPr>
          <w:rFonts w:ascii="Arial" w:hAnsi="Arial"/>
          <w:b/>
          <w:bCs/>
          <w:sz w:val="24"/>
          <w:szCs w:val="24"/>
          <w:vertAlign w:val="superscript"/>
        </w:rPr>
        <w:t>®</w:t>
      </w:r>
      <w:r w:rsidRPr="00944E16">
        <w:rPr>
          <w:rFonts w:ascii="Arial" w:hAnsi="Arial"/>
          <w:b/>
          <w:bCs/>
          <w:sz w:val="24"/>
          <w:szCs w:val="24"/>
        </w:rPr>
        <w:t xml:space="preserve"> Outcome Simulator Pro i nowe możliwości cyfrowe wspierają ortodontów w planowaniu i prowadzeniu leczenia</w:t>
      </w:r>
      <w:r>
        <w:rPr>
          <w:rFonts w:ascii="Arial" w:hAnsi="Arial"/>
          <w:b/>
          <w:bCs/>
          <w:sz w:val="24"/>
          <w:szCs w:val="24"/>
        </w:rPr>
        <w:t xml:space="preserve"> z większą pewnością.</w:t>
      </w:r>
    </w:p>
    <w:p w14:paraId="76323B13" w14:textId="534569F5" w:rsidR="008B42A2" w:rsidRDefault="00E47241" w:rsidP="00944E16">
      <w:pPr>
        <w:jc w:val="both"/>
        <w:rPr>
          <w:rFonts w:ascii="Arial" w:hAnsi="Arial" w:cs="Arial"/>
          <w:bCs/>
          <w:sz w:val="24"/>
          <w:szCs w:val="24"/>
        </w:rPr>
      </w:pPr>
      <w:r w:rsidRPr="008B42A2">
        <w:rPr>
          <w:rFonts w:ascii="Arial" w:hAnsi="Arial" w:cs="Arial"/>
          <w:bCs/>
          <w:sz w:val="24"/>
          <w:szCs w:val="24"/>
        </w:rPr>
        <w:t>Wrocław,</w:t>
      </w:r>
      <w:r w:rsidR="00274C19" w:rsidRPr="008B42A2">
        <w:rPr>
          <w:rFonts w:ascii="Arial" w:hAnsi="Arial" w:cs="Arial"/>
          <w:bCs/>
          <w:sz w:val="24"/>
          <w:szCs w:val="24"/>
        </w:rPr>
        <w:t xml:space="preserve"> </w:t>
      </w:r>
      <w:r w:rsidR="009C3522">
        <w:rPr>
          <w:rFonts w:ascii="Arial" w:hAnsi="Arial" w:cs="Arial"/>
          <w:bCs/>
          <w:sz w:val="24"/>
          <w:szCs w:val="24"/>
        </w:rPr>
        <w:t>22</w:t>
      </w:r>
      <w:r w:rsidR="00FC02E3" w:rsidRPr="008B42A2">
        <w:rPr>
          <w:rFonts w:ascii="Arial" w:hAnsi="Arial" w:cs="Arial"/>
          <w:bCs/>
          <w:sz w:val="24"/>
          <w:szCs w:val="24"/>
        </w:rPr>
        <w:t>.</w:t>
      </w:r>
      <w:r w:rsidR="00944E16">
        <w:rPr>
          <w:rFonts w:ascii="Arial" w:hAnsi="Arial" w:cs="Arial"/>
          <w:bCs/>
          <w:sz w:val="24"/>
          <w:szCs w:val="24"/>
        </w:rPr>
        <w:t>10</w:t>
      </w:r>
      <w:r w:rsidRPr="008B42A2">
        <w:rPr>
          <w:rFonts w:ascii="Arial" w:hAnsi="Arial" w:cs="Arial"/>
          <w:bCs/>
          <w:sz w:val="24"/>
          <w:szCs w:val="24"/>
        </w:rPr>
        <w:t xml:space="preserve">.2026 - Align Technology, Inc. </w:t>
      </w:r>
      <w:r w:rsidRPr="00B159E8">
        <w:rPr>
          <w:rFonts w:ascii="Arial" w:hAnsi="Arial" w:cs="Arial"/>
          <w:bCs/>
          <w:sz w:val="24"/>
          <w:szCs w:val="24"/>
        </w:rPr>
        <w:t>(NASDAQ: ALGN), wiodąca globalna firma</w:t>
      </w:r>
      <w:r w:rsidR="006A5D8F" w:rsidRPr="00B159E8">
        <w:rPr>
          <w:rFonts w:ascii="Arial" w:hAnsi="Arial" w:cs="Arial"/>
          <w:bCs/>
          <w:sz w:val="24"/>
          <w:szCs w:val="24"/>
        </w:rPr>
        <w:t xml:space="preserve"> </w:t>
      </w:r>
      <w:r w:rsidR="00694802" w:rsidRPr="00B159E8">
        <w:rPr>
          <w:rFonts w:ascii="Arial" w:hAnsi="Arial" w:cs="Arial"/>
          <w:bCs/>
          <w:sz w:val="24"/>
          <w:szCs w:val="24"/>
        </w:rPr>
        <w:t>z branży wyrobów medycznych</w:t>
      </w:r>
      <w:r w:rsidRPr="00B159E8">
        <w:rPr>
          <w:rFonts w:ascii="Arial" w:hAnsi="Arial" w:cs="Arial"/>
          <w:bCs/>
          <w:sz w:val="24"/>
          <w:szCs w:val="24"/>
        </w:rPr>
        <w:t>, która projektuje, produkuje i sprzedaje system przezroczystych nakładek Invisalign</w:t>
      </w:r>
      <w:r w:rsidRPr="00B159E8">
        <w:rPr>
          <w:rFonts w:ascii="Arial" w:hAnsi="Arial" w:cs="Arial"/>
          <w:bCs/>
          <w:sz w:val="24"/>
          <w:szCs w:val="24"/>
          <w:vertAlign w:val="superscript"/>
        </w:rPr>
        <w:t>®</w:t>
      </w:r>
      <w:r w:rsidRPr="00B159E8">
        <w:rPr>
          <w:rFonts w:ascii="Arial" w:hAnsi="Arial" w:cs="Arial"/>
          <w:bCs/>
          <w:sz w:val="24"/>
          <w:szCs w:val="24"/>
        </w:rPr>
        <w:t>, skanery wewnątrzustne iTero</w:t>
      </w:r>
      <w:r w:rsidRPr="00B159E8">
        <w:rPr>
          <w:rFonts w:ascii="Arial" w:hAnsi="Arial" w:cs="Arial"/>
          <w:bCs/>
          <w:sz w:val="24"/>
          <w:szCs w:val="24"/>
          <w:vertAlign w:val="superscript"/>
        </w:rPr>
        <w:t>™</w:t>
      </w:r>
      <w:r w:rsidRPr="00B159E8">
        <w:rPr>
          <w:rFonts w:ascii="Arial" w:hAnsi="Arial" w:cs="Arial"/>
          <w:bCs/>
          <w:sz w:val="24"/>
          <w:szCs w:val="24"/>
        </w:rPr>
        <w:t> oraz oprogramowanie CAD/CAM exocad</w:t>
      </w:r>
      <w:r w:rsidRPr="00B159E8">
        <w:rPr>
          <w:rFonts w:ascii="Arial" w:hAnsi="Arial" w:cs="Arial"/>
          <w:bCs/>
          <w:sz w:val="24"/>
          <w:szCs w:val="24"/>
          <w:vertAlign w:val="superscript"/>
        </w:rPr>
        <w:t>™</w:t>
      </w:r>
      <w:r w:rsidRPr="00B159E8">
        <w:rPr>
          <w:rFonts w:ascii="Arial" w:hAnsi="Arial" w:cs="Arial"/>
          <w:bCs/>
          <w:sz w:val="24"/>
          <w:szCs w:val="24"/>
        </w:rPr>
        <w:t xml:space="preserve">, </w:t>
      </w:r>
      <w:r w:rsidR="00944E16" w:rsidRPr="00944E16">
        <w:rPr>
          <w:rFonts w:ascii="Arial" w:hAnsi="Arial" w:cs="Arial"/>
          <w:bCs/>
          <w:sz w:val="24"/>
          <w:szCs w:val="24"/>
        </w:rPr>
        <w:t>ogłosiła dostępność w regionie Europy, Bliskiego Wschodu i Afryki (EMEA)* szeregu innowacji ortodontycznych w ramach Align™ Digital Platform, które mają pomóc ortodontom w wizualizacji efektów leczenia, zwiększaniu zaangażowania pacjentów oraz poszerzaniu możliwości terapeutycznych</w:t>
      </w:r>
      <w:r w:rsidR="00944E16">
        <w:rPr>
          <w:rFonts w:ascii="Arial" w:hAnsi="Arial" w:cs="Arial"/>
          <w:bCs/>
          <w:sz w:val="24"/>
          <w:szCs w:val="24"/>
        </w:rPr>
        <w:t>.</w:t>
      </w:r>
    </w:p>
    <w:p w14:paraId="04D78CF7" w14:textId="7FFAF33A" w:rsidR="00AF34DB" w:rsidRDefault="00944E16" w:rsidP="00AF34DB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944E16">
        <w:rPr>
          <w:rFonts w:ascii="Arial" w:eastAsia="Times New Roman" w:hAnsi="Arial" w:cs="Arial"/>
          <w:bCs/>
          <w:sz w:val="24"/>
          <w:szCs w:val="28"/>
        </w:rPr>
        <w:t>Najnowsze rozwiązania obejmują narzędzia do wizualizacji efektów leczenia Invisalign</w:t>
      </w:r>
      <w:r w:rsidRPr="00944E16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Pr="00944E16">
        <w:rPr>
          <w:rFonts w:ascii="Arial" w:eastAsia="Times New Roman" w:hAnsi="Arial" w:cs="Arial"/>
          <w:bCs/>
          <w:sz w:val="24"/>
          <w:szCs w:val="28"/>
        </w:rPr>
        <w:t xml:space="preserve">, rozszerzone możliwości leczenia cyfrowego oraz usprawnienia </w:t>
      </w:r>
      <w:r w:rsidR="00CD72AD">
        <w:rPr>
          <w:rFonts w:ascii="Arial" w:eastAsia="Times New Roman" w:hAnsi="Arial" w:cs="Arial"/>
          <w:bCs/>
          <w:sz w:val="24"/>
          <w:szCs w:val="28"/>
        </w:rPr>
        <w:t>przepływu</w:t>
      </w:r>
      <w:r w:rsidR="00CD72AD" w:rsidRPr="00944E16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944E16">
        <w:rPr>
          <w:rFonts w:ascii="Arial" w:eastAsia="Times New Roman" w:hAnsi="Arial" w:cs="Arial"/>
          <w:bCs/>
          <w:sz w:val="24"/>
          <w:szCs w:val="28"/>
        </w:rPr>
        <w:t>pracy, które zwiększają precyzję, efektywność i przewidywalność leczenia.</w:t>
      </w:r>
    </w:p>
    <w:p w14:paraId="5FBE2AC8" w14:textId="444F8B91" w:rsidR="00AF34DB" w:rsidRDefault="00AF34DB" w:rsidP="00AF34DB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AF34DB">
        <w:rPr>
          <w:rFonts w:ascii="Arial" w:eastAsia="Times New Roman" w:hAnsi="Arial" w:cs="Arial"/>
          <w:bCs/>
          <w:sz w:val="24"/>
          <w:szCs w:val="28"/>
        </w:rPr>
        <w:t>„</w:t>
      </w:r>
      <w:r>
        <w:rPr>
          <w:rFonts w:ascii="Arial" w:eastAsia="Times New Roman" w:hAnsi="Arial" w:cs="Arial"/>
          <w:bCs/>
          <w:sz w:val="24"/>
          <w:szCs w:val="28"/>
        </w:rPr>
        <w:t>I</w:t>
      </w:r>
      <w:r w:rsidRPr="00AF34DB">
        <w:rPr>
          <w:rFonts w:ascii="Arial" w:eastAsia="Times New Roman" w:hAnsi="Arial" w:cs="Arial"/>
          <w:bCs/>
          <w:sz w:val="24"/>
          <w:szCs w:val="28"/>
        </w:rPr>
        <w:t xml:space="preserve">nnowacje stanowią kolejny krok w kierunku zapewnienia ortodontom i ich pacjentom bardziej zintegrowanego i inteligentnego procesu leczenia” – </w:t>
      </w:r>
      <w:r w:rsidR="00B02FE3" w:rsidRPr="00CB4D44">
        <w:rPr>
          <w:rFonts w:ascii="Arial" w:eastAsia="Times New Roman" w:hAnsi="Arial" w:cs="Arial"/>
          <w:b/>
          <w:sz w:val="24"/>
          <w:szCs w:val="28"/>
        </w:rPr>
        <w:t>mówi</w:t>
      </w:r>
      <w:r w:rsidR="00B02FE3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AF34DB">
        <w:rPr>
          <w:rFonts w:ascii="Arial" w:eastAsia="Times New Roman" w:hAnsi="Arial" w:cs="Arial"/>
          <w:b/>
          <w:bCs/>
          <w:sz w:val="24"/>
          <w:szCs w:val="28"/>
        </w:rPr>
        <w:t>Sreelakshmi Kolli, wiceprezes Align Technology oraz dyrektor ds. produktów i cyfryzacji</w:t>
      </w:r>
      <w:r w:rsidRPr="00AF34DB">
        <w:rPr>
          <w:rFonts w:ascii="Arial" w:eastAsia="Times New Roman" w:hAnsi="Arial" w:cs="Arial"/>
          <w:bCs/>
          <w:sz w:val="24"/>
          <w:szCs w:val="28"/>
        </w:rPr>
        <w:t>. „Naszym celem jest dostarczanie lekarzom narzędzi, które pozwolą im z większą pewnością wizualizować efekty, planować i prowadzić leczenie, a jednocześnie tworzyć angażujące doświadczenia dla pacjentów”.</w:t>
      </w:r>
    </w:p>
    <w:p w14:paraId="216BBE73" w14:textId="338C2E09" w:rsidR="00AF34DB" w:rsidRDefault="00AF34DB" w:rsidP="00AF34DB">
      <w:pPr>
        <w:jc w:val="both"/>
        <w:rPr>
          <w:rFonts w:ascii="Arial" w:eastAsia="Times New Roman" w:hAnsi="Arial" w:cs="Arial"/>
          <w:b/>
          <w:sz w:val="24"/>
          <w:szCs w:val="28"/>
        </w:rPr>
      </w:pPr>
      <w:r w:rsidRPr="00AF34DB">
        <w:rPr>
          <w:rFonts w:ascii="Arial" w:eastAsia="Times New Roman" w:hAnsi="Arial" w:cs="Arial"/>
          <w:b/>
          <w:sz w:val="24"/>
          <w:szCs w:val="28"/>
        </w:rPr>
        <w:t>Zaawansowana wizualizacja wspierająca zrozumienie efektów leczenia przez pacjentów</w:t>
      </w:r>
    </w:p>
    <w:p w14:paraId="44DFE22B" w14:textId="4642EDAC" w:rsidR="00AF34DB" w:rsidRDefault="00AF34DB" w:rsidP="00AF34DB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AF34DB">
        <w:rPr>
          <w:rFonts w:ascii="Arial" w:eastAsia="Times New Roman" w:hAnsi="Arial" w:cs="Arial"/>
          <w:bCs/>
          <w:sz w:val="24"/>
          <w:szCs w:val="28"/>
        </w:rPr>
        <w:t>Nowa funkcja 3D Tissue Animation w oprogramowaniu do planowania leczenia ClinCheck</w:t>
      </w:r>
      <w:r w:rsidRPr="00AF34DB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Pr="00AF34DB">
        <w:rPr>
          <w:rFonts w:ascii="Arial" w:eastAsia="Times New Roman" w:hAnsi="Arial" w:cs="Arial"/>
          <w:bCs/>
          <w:sz w:val="24"/>
          <w:szCs w:val="28"/>
        </w:rPr>
        <w:t xml:space="preserve"> </w:t>
      </w:r>
      <w:r>
        <w:rPr>
          <w:rFonts w:ascii="Arial" w:eastAsia="Times New Roman" w:hAnsi="Arial" w:cs="Arial"/>
          <w:bCs/>
          <w:sz w:val="24"/>
          <w:szCs w:val="28"/>
        </w:rPr>
        <w:t>pozwala</w:t>
      </w:r>
      <w:r w:rsidRPr="00AF34DB">
        <w:rPr>
          <w:rFonts w:ascii="Arial" w:eastAsia="Times New Roman" w:hAnsi="Arial" w:cs="Arial"/>
          <w:bCs/>
          <w:sz w:val="24"/>
          <w:szCs w:val="28"/>
        </w:rPr>
        <w:t xml:space="preserve"> lekarzom </w:t>
      </w:r>
      <w:r>
        <w:rPr>
          <w:rFonts w:ascii="Arial" w:eastAsia="Times New Roman" w:hAnsi="Arial" w:cs="Arial"/>
          <w:bCs/>
          <w:sz w:val="24"/>
          <w:szCs w:val="28"/>
        </w:rPr>
        <w:t>symulować potencjalne zmiany</w:t>
      </w:r>
      <w:r w:rsidRPr="00AF34DB">
        <w:rPr>
          <w:rFonts w:ascii="Arial" w:eastAsia="Times New Roman" w:hAnsi="Arial" w:cs="Arial"/>
          <w:bCs/>
          <w:sz w:val="24"/>
          <w:szCs w:val="28"/>
        </w:rPr>
        <w:t xml:space="preserve"> w wyglądzie tkanek miękkich twarzy pacjenta po zakończeniu leczenia Invisalign</w:t>
      </w:r>
      <w:r w:rsidRPr="00AF34DB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Pr="00AF34DB">
        <w:rPr>
          <w:rFonts w:ascii="Arial" w:eastAsia="Times New Roman" w:hAnsi="Arial" w:cs="Arial"/>
          <w:bCs/>
          <w:sz w:val="24"/>
          <w:szCs w:val="28"/>
        </w:rPr>
        <w:t xml:space="preserve">. Technologia ta wspiera planowanie leczenia z uwzględnieniem </w:t>
      </w:r>
      <w:r>
        <w:rPr>
          <w:rFonts w:ascii="Arial" w:eastAsia="Times New Roman" w:hAnsi="Arial" w:cs="Arial"/>
          <w:bCs/>
          <w:sz w:val="24"/>
          <w:szCs w:val="28"/>
        </w:rPr>
        <w:t>efektów</w:t>
      </w:r>
      <w:r w:rsidRPr="00AF34DB">
        <w:rPr>
          <w:rFonts w:ascii="Arial" w:eastAsia="Times New Roman" w:hAnsi="Arial" w:cs="Arial"/>
          <w:bCs/>
          <w:sz w:val="24"/>
          <w:szCs w:val="28"/>
        </w:rPr>
        <w:t xml:space="preserve"> estetycznych oraz ułatwia prowadzenie indywidualnych rozmów z pacjentami na temat możliwych zmian w profilu twarzy, podparciu warg i wyglądzie uśmiechu.</w:t>
      </w:r>
    </w:p>
    <w:p w14:paraId="50F91224" w14:textId="4CDFE94C" w:rsidR="005A5FE5" w:rsidRDefault="00A644C0" w:rsidP="00AF34DB">
      <w:pPr>
        <w:jc w:val="both"/>
        <w:rPr>
          <w:rFonts w:ascii="Arial" w:eastAsia="Times New Roman" w:hAnsi="Arial" w:cs="Arial"/>
          <w:bCs/>
          <w:sz w:val="24"/>
          <w:szCs w:val="28"/>
        </w:rPr>
      </w:pPr>
      <w:r>
        <w:rPr>
          <w:rFonts w:ascii="Arial" w:eastAsia="Times New Roman" w:hAnsi="Arial" w:cs="Arial"/>
          <w:bCs/>
          <w:sz w:val="24"/>
          <w:szCs w:val="28"/>
        </w:rPr>
        <w:t xml:space="preserve">Narzędzie 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>Invisalign</w:t>
      </w:r>
      <w:r w:rsidR="005A5FE5" w:rsidRPr="005A5FE5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Outcome Simulator Pro</w:t>
      </w:r>
      <w:r>
        <w:rPr>
          <w:rFonts w:ascii="Arial" w:eastAsia="Times New Roman" w:hAnsi="Arial" w:cs="Arial"/>
          <w:bCs/>
          <w:sz w:val="24"/>
          <w:szCs w:val="28"/>
        </w:rPr>
        <w:t xml:space="preserve"> zyskało nowe możliwości, które pozwalają bardziej realistycznie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wizualiz</w:t>
      </w:r>
      <w:r>
        <w:rPr>
          <w:rFonts w:ascii="Arial" w:eastAsia="Times New Roman" w:hAnsi="Arial" w:cs="Arial"/>
          <w:bCs/>
          <w:sz w:val="24"/>
          <w:szCs w:val="28"/>
        </w:rPr>
        <w:t>ować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potencjaln</w:t>
      </w:r>
      <w:r>
        <w:rPr>
          <w:rFonts w:ascii="Arial" w:eastAsia="Times New Roman" w:hAnsi="Arial" w:cs="Arial"/>
          <w:bCs/>
          <w:sz w:val="24"/>
          <w:szCs w:val="28"/>
        </w:rPr>
        <w:t>e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efekt</w:t>
      </w:r>
      <w:r>
        <w:rPr>
          <w:rFonts w:ascii="Arial" w:eastAsia="Times New Roman" w:hAnsi="Arial" w:cs="Arial"/>
          <w:bCs/>
          <w:sz w:val="24"/>
          <w:szCs w:val="28"/>
        </w:rPr>
        <w:t>y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leczenia Invisalign</w:t>
      </w:r>
      <w:r w:rsidR="005A5FE5" w:rsidRPr="005A5FE5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="005A5FE5">
        <w:rPr>
          <w:rStyle w:val="Odwoanieprzypisudolnego"/>
          <w:rFonts w:ascii="Arial" w:eastAsia="Times New Roman" w:hAnsi="Arial" w:cs="Arial"/>
          <w:bCs/>
          <w:sz w:val="24"/>
          <w:szCs w:val="28"/>
        </w:rPr>
        <w:footnoteReference w:id="1"/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lastRenderedPageBreak/>
        <w:t>na twarzy pacjenta</w:t>
      </w:r>
      <w:r>
        <w:rPr>
          <w:rFonts w:ascii="Arial" w:eastAsia="Times New Roman" w:hAnsi="Arial" w:cs="Arial"/>
          <w:bCs/>
          <w:sz w:val="24"/>
          <w:szCs w:val="28"/>
        </w:rPr>
        <w:t>.</w:t>
      </w:r>
      <w:r w:rsidR="005A5FE5" w:rsidRPr="005A5FE5">
        <w:rPr>
          <w:rFonts w:ascii="Arial" w:eastAsia="Times New Roman" w:hAnsi="Arial" w:cs="Arial"/>
          <w:bCs/>
          <w:sz w:val="24"/>
          <w:szCs w:val="28"/>
        </w:rPr>
        <w:t xml:space="preserve"> Rozwiązanie obejmuje funkcje Arch Control oraz Occlusogram, umożliwiający wizualizację kontaktów zgryzowych, co wspiera komunikację z pacjentem i zwiększa jego zaangażowanie w proces leczenia.</w:t>
      </w:r>
    </w:p>
    <w:p w14:paraId="08344EE1" w14:textId="6F36E16F" w:rsidR="005A5FE5" w:rsidRDefault="005A5FE5" w:rsidP="00AF34DB">
      <w:pPr>
        <w:jc w:val="both"/>
        <w:rPr>
          <w:rFonts w:ascii="Arial" w:eastAsia="Times New Roman" w:hAnsi="Arial" w:cs="Arial"/>
          <w:b/>
          <w:sz w:val="24"/>
          <w:szCs w:val="28"/>
        </w:rPr>
      </w:pPr>
      <w:r w:rsidRPr="005A5FE5">
        <w:rPr>
          <w:rFonts w:ascii="Arial" w:eastAsia="Times New Roman" w:hAnsi="Arial" w:cs="Arial"/>
          <w:b/>
          <w:sz w:val="24"/>
          <w:szCs w:val="28"/>
        </w:rPr>
        <w:t>Rozszerzenie możliwości w zakresie precyzyjnego planowania leczenia</w:t>
      </w:r>
    </w:p>
    <w:p w14:paraId="198A1B1E" w14:textId="18279F4A" w:rsidR="005A5FE5" w:rsidRDefault="005A5FE5" w:rsidP="00AF34DB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5A5FE5">
        <w:rPr>
          <w:rFonts w:ascii="Arial" w:eastAsia="Times New Roman" w:hAnsi="Arial" w:cs="Arial"/>
          <w:bCs/>
          <w:sz w:val="24"/>
          <w:szCs w:val="28"/>
        </w:rPr>
        <w:t xml:space="preserve">Innowacje te </w:t>
      </w:r>
      <w:r w:rsidR="00A644C0">
        <w:rPr>
          <w:rFonts w:ascii="Arial" w:eastAsia="Times New Roman" w:hAnsi="Arial" w:cs="Arial"/>
          <w:bCs/>
          <w:sz w:val="24"/>
          <w:szCs w:val="28"/>
        </w:rPr>
        <w:t>są rozwinięciem</w:t>
      </w:r>
      <w:r w:rsidR="00A644C0" w:rsidRPr="005A5FE5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5A5FE5">
        <w:rPr>
          <w:rFonts w:ascii="Arial" w:eastAsia="Times New Roman" w:hAnsi="Arial" w:cs="Arial"/>
          <w:bCs/>
          <w:sz w:val="24"/>
          <w:szCs w:val="28"/>
        </w:rPr>
        <w:t>dotychczasow</w:t>
      </w:r>
      <w:r w:rsidR="00A644C0">
        <w:rPr>
          <w:rFonts w:ascii="Arial" w:eastAsia="Times New Roman" w:hAnsi="Arial" w:cs="Arial"/>
          <w:bCs/>
          <w:sz w:val="24"/>
          <w:szCs w:val="28"/>
        </w:rPr>
        <w:t>ych</w:t>
      </w:r>
      <w:r w:rsidRPr="005A5FE5">
        <w:rPr>
          <w:rFonts w:ascii="Arial" w:eastAsia="Times New Roman" w:hAnsi="Arial" w:cs="Arial"/>
          <w:bCs/>
          <w:sz w:val="24"/>
          <w:szCs w:val="28"/>
        </w:rPr>
        <w:t xml:space="preserve"> rozwiąza</w:t>
      </w:r>
      <w:r w:rsidR="00A644C0">
        <w:rPr>
          <w:rFonts w:ascii="Arial" w:eastAsia="Times New Roman" w:hAnsi="Arial" w:cs="Arial"/>
          <w:bCs/>
          <w:sz w:val="24"/>
          <w:szCs w:val="28"/>
        </w:rPr>
        <w:t>ń</w:t>
      </w:r>
      <w:r w:rsidRPr="005A5FE5">
        <w:rPr>
          <w:rFonts w:ascii="Arial" w:eastAsia="Times New Roman" w:hAnsi="Arial" w:cs="Arial"/>
          <w:bCs/>
          <w:sz w:val="24"/>
          <w:szCs w:val="28"/>
        </w:rPr>
        <w:t xml:space="preserve"> i uzupełni</w:t>
      </w:r>
      <w:r w:rsidR="00A644C0">
        <w:rPr>
          <w:rFonts w:ascii="Arial" w:eastAsia="Times New Roman" w:hAnsi="Arial" w:cs="Arial"/>
          <w:bCs/>
          <w:sz w:val="24"/>
          <w:szCs w:val="28"/>
        </w:rPr>
        <w:t>eniem</w:t>
      </w:r>
      <w:r w:rsidRPr="005A5FE5">
        <w:rPr>
          <w:rFonts w:ascii="Arial" w:eastAsia="Times New Roman" w:hAnsi="Arial" w:cs="Arial"/>
          <w:bCs/>
          <w:sz w:val="24"/>
          <w:szCs w:val="28"/>
        </w:rPr>
        <w:t xml:space="preserve"> wcześniejsz</w:t>
      </w:r>
      <w:r w:rsidR="00A644C0">
        <w:rPr>
          <w:rFonts w:ascii="Arial" w:eastAsia="Times New Roman" w:hAnsi="Arial" w:cs="Arial"/>
          <w:bCs/>
          <w:sz w:val="24"/>
          <w:szCs w:val="28"/>
        </w:rPr>
        <w:t>ych</w:t>
      </w:r>
      <w:r w:rsidRPr="005A5FE5">
        <w:rPr>
          <w:rFonts w:ascii="Arial" w:eastAsia="Times New Roman" w:hAnsi="Arial" w:cs="Arial"/>
          <w:bCs/>
          <w:sz w:val="24"/>
          <w:szCs w:val="28"/>
        </w:rPr>
        <w:t xml:space="preserve"> zapowiedzi* </w:t>
      </w:r>
      <w:r w:rsidR="00A644C0">
        <w:rPr>
          <w:rFonts w:ascii="Arial" w:eastAsia="Times New Roman" w:hAnsi="Arial" w:cs="Arial"/>
          <w:bCs/>
          <w:sz w:val="24"/>
          <w:szCs w:val="28"/>
        </w:rPr>
        <w:t>nowości na</w:t>
      </w:r>
      <w:r w:rsidRPr="005A5FE5">
        <w:rPr>
          <w:rFonts w:ascii="Arial" w:eastAsia="Times New Roman" w:hAnsi="Arial" w:cs="Arial"/>
          <w:bCs/>
          <w:sz w:val="24"/>
          <w:szCs w:val="28"/>
        </w:rPr>
        <w:t xml:space="preserve"> platform</w:t>
      </w:r>
      <w:r w:rsidR="00A644C0">
        <w:rPr>
          <w:rFonts w:ascii="Arial" w:eastAsia="Times New Roman" w:hAnsi="Arial" w:cs="Arial"/>
          <w:bCs/>
          <w:sz w:val="24"/>
          <w:szCs w:val="28"/>
        </w:rPr>
        <w:t>ie</w:t>
      </w:r>
      <w:r w:rsidRPr="005A5FE5">
        <w:rPr>
          <w:rFonts w:ascii="Arial" w:eastAsia="Times New Roman" w:hAnsi="Arial" w:cs="Arial"/>
          <w:bCs/>
          <w:sz w:val="24"/>
          <w:szCs w:val="28"/>
        </w:rPr>
        <w:t xml:space="preserve"> cyfrowej Align, w tym:</w:t>
      </w:r>
    </w:p>
    <w:p w14:paraId="268B820D" w14:textId="505259F4" w:rsidR="005A5FE5" w:rsidRPr="001E2B2F" w:rsidRDefault="001E2B2F" w:rsidP="005A5FE5">
      <w:pPr>
        <w:pStyle w:val="Akapitzlist"/>
        <w:numPr>
          <w:ilvl w:val="0"/>
          <w:numId w:val="25"/>
        </w:numPr>
        <w:jc w:val="both"/>
        <w:rPr>
          <w:rFonts w:ascii="Arial" w:eastAsia="Times New Roman" w:hAnsi="Arial" w:cs="Arial"/>
          <w:b/>
          <w:sz w:val="24"/>
          <w:szCs w:val="28"/>
        </w:rPr>
      </w:pPr>
      <w:r w:rsidRPr="001E2B2F">
        <w:rPr>
          <w:rFonts w:ascii="Arial" w:eastAsia="Times New Roman" w:hAnsi="Arial" w:cs="Arial"/>
          <w:b/>
          <w:sz w:val="24"/>
          <w:szCs w:val="28"/>
        </w:rPr>
        <w:t>Opcja indywidualizacji przebiegu linii brzegowej nakładek Invisalign</w:t>
      </w:r>
      <w:r w:rsidRPr="001E2B2F">
        <w:rPr>
          <w:rFonts w:ascii="Arial" w:eastAsia="Times New Roman" w:hAnsi="Arial" w:cs="Arial"/>
          <w:b/>
          <w:sz w:val="24"/>
          <w:szCs w:val="28"/>
          <w:vertAlign w:val="superscript"/>
        </w:rPr>
        <w:t>®</w:t>
      </w:r>
      <w:r>
        <w:rPr>
          <w:rFonts w:ascii="Arial" w:eastAsia="Times New Roman" w:hAnsi="Arial" w:cs="Arial"/>
          <w:b/>
          <w:sz w:val="24"/>
          <w:szCs w:val="28"/>
        </w:rPr>
        <w:t xml:space="preserve"> - </w:t>
      </w:r>
      <w:r w:rsidRPr="001E2B2F">
        <w:rPr>
          <w:rFonts w:ascii="Arial" w:eastAsia="Times New Roman" w:hAnsi="Arial" w:cs="Arial"/>
          <w:bCs/>
          <w:sz w:val="24"/>
          <w:szCs w:val="28"/>
        </w:rPr>
        <w:t>umożliwia lekarzom precyzyjniej dostosowa</w:t>
      </w:r>
      <w:r w:rsidR="00A644C0">
        <w:rPr>
          <w:rFonts w:ascii="Arial" w:eastAsia="Times New Roman" w:hAnsi="Arial" w:cs="Arial"/>
          <w:bCs/>
          <w:sz w:val="24"/>
          <w:szCs w:val="28"/>
        </w:rPr>
        <w:t>ć</w:t>
      </w:r>
      <w:r w:rsidRPr="001E2B2F">
        <w:rPr>
          <w:rFonts w:ascii="Arial" w:eastAsia="Times New Roman" w:hAnsi="Arial" w:cs="Arial"/>
          <w:bCs/>
          <w:sz w:val="24"/>
          <w:szCs w:val="28"/>
        </w:rPr>
        <w:t xml:space="preserve"> przebieg </w:t>
      </w:r>
      <w:r w:rsidR="00A644C0">
        <w:rPr>
          <w:rFonts w:ascii="Arial" w:eastAsia="Times New Roman" w:hAnsi="Arial" w:cs="Arial"/>
          <w:bCs/>
          <w:sz w:val="24"/>
          <w:szCs w:val="28"/>
        </w:rPr>
        <w:t>krawędzi</w:t>
      </w:r>
      <w:r w:rsidR="00A644C0" w:rsidRPr="001E2B2F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Pr="001E2B2F">
        <w:rPr>
          <w:rFonts w:ascii="Arial" w:eastAsia="Times New Roman" w:hAnsi="Arial" w:cs="Arial"/>
          <w:bCs/>
          <w:sz w:val="24"/>
          <w:szCs w:val="28"/>
        </w:rPr>
        <w:t>nakładek przy dziąsłach, zapewniając większą elastyczność w zakresie estetyki, komfortu i planowania leczenia. W przypadku niewystarczającej retencji lekarz może rozważyć zastosowanie przedłużonej, łukowatej linii brzegowej, m.in. u pacjentów z krótkimi koronami klinicznymi, w okresie wyrzynania zębów, gdy wskazane jest ograniczenie liczby attachmentów, a także przy recesji dziąseł lub w celu objęcia podcieni koron klinicznych. Opcja ta jest zintegrowana z procesem planowania leczenia w oprogramowaniu ClinCheck</w:t>
      </w:r>
      <w:r w:rsidRPr="001E2B2F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Pr="001E2B2F">
        <w:rPr>
          <w:rFonts w:ascii="Arial" w:eastAsia="Times New Roman" w:hAnsi="Arial" w:cs="Arial"/>
          <w:bCs/>
          <w:sz w:val="24"/>
          <w:szCs w:val="28"/>
        </w:rPr>
        <w:t>, co pozwala dostosować projekt nakładek do indywidualnej anatomii pacjenta i założeń terapii</w:t>
      </w:r>
      <w:r w:rsidR="00A644C0">
        <w:rPr>
          <w:rFonts w:ascii="Arial" w:eastAsia="Times New Roman" w:hAnsi="Arial" w:cs="Arial"/>
          <w:bCs/>
          <w:sz w:val="24"/>
          <w:szCs w:val="28"/>
        </w:rPr>
        <w:t>.</w:t>
      </w:r>
    </w:p>
    <w:p w14:paraId="5C2DA3D4" w14:textId="20338743" w:rsidR="001E2B2F" w:rsidRPr="00A72FE2" w:rsidRDefault="001E2B2F" w:rsidP="005A5FE5">
      <w:pPr>
        <w:pStyle w:val="Akapitzlist"/>
        <w:numPr>
          <w:ilvl w:val="0"/>
          <w:numId w:val="25"/>
        </w:numPr>
        <w:jc w:val="both"/>
        <w:rPr>
          <w:rFonts w:ascii="Arial" w:eastAsia="Times New Roman" w:hAnsi="Arial" w:cs="Arial"/>
          <w:b/>
          <w:sz w:val="24"/>
          <w:szCs w:val="28"/>
        </w:rPr>
      </w:pPr>
      <w:r w:rsidRPr="001E2B2F">
        <w:rPr>
          <w:rFonts w:ascii="Arial" w:eastAsia="Times New Roman" w:hAnsi="Arial" w:cs="Arial"/>
          <w:b/>
          <w:sz w:val="24"/>
          <w:szCs w:val="28"/>
        </w:rPr>
        <w:t>System Invisalign</w:t>
      </w:r>
      <w:r w:rsidRPr="001E2B2F">
        <w:rPr>
          <w:rFonts w:ascii="Arial" w:eastAsia="Times New Roman" w:hAnsi="Arial" w:cs="Arial"/>
          <w:b/>
          <w:sz w:val="24"/>
          <w:szCs w:val="28"/>
          <w:vertAlign w:val="superscript"/>
        </w:rPr>
        <w:t>®</w:t>
      </w:r>
      <w:r w:rsidRPr="001E2B2F">
        <w:rPr>
          <w:rFonts w:ascii="Arial" w:eastAsia="Times New Roman" w:hAnsi="Arial" w:cs="Arial"/>
          <w:b/>
          <w:sz w:val="24"/>
          <w:szCs w:val="28"/>
        </w:rPr>
        <w:t xml:space="preserve"> Palatal Expander z wizualizacją ekspansji</w:t>
      </w:r>
      <w:r w:rsidR="00A72FE2">
        <w:rPr>
          <w:rStyle w:val="Odwoanieprzypisudolnego"/>
          <w:rFonts w:ascii="Arial" w:eastAsia="Times New Roman" w:hAnsi="Arial" w:cs="Arial"/>
          <w:b/>
          <w:sz w:val="24"/>
          <w:szCs w:val="28"/>
        </w:rPr>
        <w:footnoteReference w:id="2"/>
      </w:r>
      <w:r w:rsidR="00A72FE2">
        <w:rPr>
          <w:rFonts w:ascii="Arial" w:eastAsia="Times New Roman" w:hAnsi="Arial" w:cs="Arial"/>
          <w:b/>
          <w:sz w:val="24"/>
          <w:szCs w:val="28"/>
        </w:rPr>
        <w:t xml:space="preserve"> </w:t>
      </w:r>
      <w:r w:rsidR="00A72FE2">
        <w:rPr>
          <w:rFonts w:ascii="Arial" w:eastAsia="Times New Roman" w:hAnsi="Arial" w:cs="Arial"/>
          <w:bCs/>
          <w:sz w:val="24"/>
          <w:szCs w:val="28"/>
        </w:rPr>
        <w:t xml:space="preserve">- </w:t>
      </w:r>
      <w:r w:rsidR="00AA38F2">
        <w:rPr>
          <w:rFonts w:ascii="Arial" w:eastAsia="Times New Roman" w:hAnsi="Arial" w:cs="Arial"/>
          <w:bCs/>
          <w:sz w:val="24"/>
          <w:szCs w:val="28"/>
        </w:rPr>
        <w:t xml:space="preserve">nowe narzędzie cyfrowe </w:t>
      </w:r>
      <w:r w:rsidR="00A72FE2" w:rsidRPr="00A72FE2">
        <w:rPr>
          <w:rFonts w:ascii="Arial" w:eastAsia="Times New Roman" w:hAnsi="Arial" w:cs="Arial"/>
          <w:bCs/>
          <w:sz w:val="24"/>
          <w:szCs w:val="28"/>
        </w:rPr>
        <w:t>zintegrowan</w:t>
      </w:r>
      <w:r w:rsidR="00AA38F2">
        <w:rPr>
          <w:rFonts w:ascii="Arial" w:eastAsia="Times New Roman" w:hAnsi="Arial" w:cs="Arial"/>
          <w:bCs/>
          <w:sz w:val="24"/>
          <w:szCs w:val="28"/>
        </w:rPr>
        <w:t>e</w:t>
      </w:r>
      <w:r w:rsidR="00A72FE2" w:rsidRPr="00A72FE2">
        <w:rPr>
          <w:rFonts w:ascii="Arial" w:eastAsia="Times New Roman" w:hAnsi="Arial" w:cs="Arial"/>
          <w:bCs/>
          <w:sz w:val="24"/>
          <w:szCs w:val="28"/>
        </w:rPr>
        <w:t xml:space="preserve"> z formularzem </w:t>
      </w:r>
      <w:r w:rsidR="00AA38F2">
        <w:rPr>
          <w:rFonts w:ascii="Arial" w:eastAsia="Times New Roman" w:hAnsi="Arial" w:cs="Arial"/>
          <w:bCs/>
          <w:sz w:val="24"/>
          <w:szCs w:val="28"/>
        </w:rPr>
        <w:t>zamówienia</w:t>
      </w:r>
      <w:r w:rsidR="00AA38F2" w:rsidRPr="00A72FE2">
        <w:rPr>
          <w:rFonts w:ascii="Arial" w:eastAsia="Times New Roman" w:hAnsi="Arial" w:cs="Arial"/>
          <w:bCs/>
          <w:sz w:val="24"/>
          <w:szCs w:val="28"/>
        </w:rPr>
        <w:t xml:space="preserve"> </w:t>
      </w:r>
      <w:r w:rsidR="00A72FE2" w:rsidRPr="00A72FE2">
        <w:rPr>
          <w:rFonts w:ascii="Arial" w:eastAsia="Times New Roman" w:hAnsi="Arial" w:cs="Arial"/>
          <w:bCs/>
          <w:sz w:val="24"/>
          <w:szCs w:val="28"/>
        </w:rPr>
        <w:t>Invisalign</w:t>
      </w:r>
      <w:r w:rsidR="00A72FE2" w:rsidRPr="00A72FE2">
        <w:rPr>
          <w:rFonts w:ascii="Arial" w:eastAsia="Times New Roman" w:hAnsi="Arial" w:cs="Arial"/>
          <w:bCs/>
          <w:sz w:val="24"/>
          <w:szCs w:val="28"/>
          <w:vertAlign w:val="superscript"/>
        </w:rPr>
        <w:t xml:space="preserve">® </w:t>
      </w:r>
      <w:r w:rsidR="00A72FE2" w:rsidRPr="00A72FE2">
        <w:rPr>
          <w:rFonts w:ascii="Arial" w:eastAsia="Times New Roman" w:hAnsi="Arial" w:cs="Arial"/>
          <w:bCs/>
          <w:sz w:val="24"/>
          <w:szCs w:val="28"/>
        </w:rPr>
        <w:t>Palatal Expander (IPE), pomaga lekarzom określić zakres poszerzenia górnego łuku zębowego względem łuku dolnego. Umożliwia</w:t>
      </w:r>
      <w:r w:rsidR="00A72FE2">
        <w:rPr>
          <w:rFonts w:ascii="Arial" w:eastAsia="Times New Roman" w:hAnsi="Arial" w:cs="Arial"/>
          <w:bCs/>
          <w:sz w:val="24"/>
          <w:szCs w:val="28"/>
        </w:rPr>
        <w:t xml:space="preserve"> wizualizację ekspansji </w:t>
      </w:r>
      <w:r w:rsidR="00A72FE2" w:rsidRPr="00A72FE2">
        <w:rPr>
          <w:rFonts w:ascii="Arial" w:eastAsia="Times New Roman" w:hAnsi="Arial" w:cs="Arial"/>
          <w:bCs/>
          <w:sz w:val="24"/>
          <w:szCs w:val="28"/>
        </w:rPr>
        <w:t>i modyfikowanie planu leczenia w czasie rzeczywistym, wspierając ocenę możliwości poszerzenia szkieletowego* oraz precyzyjne planowanie terapii.</w:t>
      </w:r>
    </w:p>
    <w:p w14:paraId="5BE70ACD" w14:textId="0B9A92FE" w:rsidR="00A72FE2" w:rsidRPr="00A72FE2" w:rsidRDefault="00A72FE2" w:rsidP="005A5FE5">
      <w:pPr>
        <w:pStyle w:val="Akapitzlist"/>
        <w:numPr>
          <w:ilvl w:val="0"/>
          <w:numId w:val="25"/>
        </w:numPr>
        <w:jc w:val="both"/>
        <w:rPr>
          <w:rFonts w:ascii="Arial" w:eastAsia="Times New Roman" w:hAnsi="Arial" w:cs="Arial"/>
          <w:b/>
          <w:sz w:val="24"/>
          <w:szCs w:val="28"/>
        </w:rPr>
      </w:pPr>
      <w:r w:rsidRPr="00A72FE2">
        <w:rPr>
          <w:rFonts w:ascii="Arial" w:eastAsia="Times New Roman" w:hAnsi="Arial" w:cs="Arial"/>
          <w:b/>
          <w:sz w:val="24"/>
          <w:szCs w:val="28"/>
        </w:rPr>
        <w:t>System attachmentów Invisalign Specifix™</w:t>
      </w:r>
      <w:r>
        <w:rPr>
          <w:rFonts w:ascii="Arial" w:eastAsia="Times New Roman" w:hAnsi="Arial" w:cs="Arial"/>
          <w:b/>
          <w:sz w:val="24"/>
          <w:szCs w:val="28"/>
        </w:rPr>
        <w:t xml:space="preserve"> </w:t>
      </w:r>
      <w:r>
        <w:rPr>
          <w:rFonts w:ascii="Arial" w:eastAsia="Times New Roman" w:hAnsi="Arial" w:cs="Arial"/>
          <w:bCs/>
          <w:sz w:val="24"/>
          <w:szCs w:val="28"/>
        </w:rPr>
        <w:t xml:space="preserve">- </w:t>
      </w:r>
      <w:r w:rsidRPr="00A72FE2">
        <w:rPr>
          <w:rFonts w:ascii="Arial" w:eastAsia="Times New Roman" w:hAnsi="Arial" w:cs="Arial"/>
          <w:bCs/>
          <w:sz w:val="24"/>
          <w:szCs w:val="28"/>
        </w:rPr>
        <w:t>rozwiązanie oparte na attachmentach wytwarzanych w technologii druku 3D, których kształt i rozmiar są precyzyjnie dopasowane do parametrów określonych przez lekarza w planie leczenia. Uzupełnieniem systemu jest specjalny element pomocniczy, który wspiera dokładne umieszczanie attachmentów*</w:t>
      </w:r>
      <w:r>
        <w:rPr>
          <w:rStyle w:val="Odwoanieprzypisudolnego"/>
          <w:rFonts w:ascii="Arial" w:eastAsia="Times New Roman" w:hAnsi="Arial" w:cs="Arial"/>
          <w:bCs/>
          <w:sz w:val="24"/>
          <w:szCs w:val="28"/>
        </w:rPr>
        <w:footnoteReference w:id="3"/>
      </w:r>
      <w:r w:rsidRPr="00A72FE2">
        <w:rPr>
          <w:rFonts w:ascii="Arial" w:eastAsia="Times New Roman" w:hAnsi="Arial" w:cs="Arial"/>
          <w:bCs/>
          <w:sz w:val="24"/>
          <w:szCs w:val="28"/>
        </w:rPr>
        <w:t>. Rozwiązanie ma na celu ograniczenie różnic w ich rozmiarach i położeniu, zwiększenie powtarzalności oraz usprawnienie procesu mocowania</w:t>
      </w:r>
      <w:r w:rsidR="00512A93">
        <w:rPr>
          <w:rFonts w:ascii="Arial" w:eastAsia="Times New Roman" w:hAnsi="Arial" w:cs="Arial"/>
          <w:bCs/>
          <w:sz w:val="24"/>
          <w:szCs w:val="28"/>
        </w:rPr>
        <w:t>.</w:t>
      </w:r>
    </w:p>
    <w:p w14:paraId="6AB6E011" w14:textId="296D0BB9" w:rsidR="00A72FE2" w:rsidRPr="006A3AD6" w:rsidRDefault="00A72FE2" w:rsidP="005A5FE5">
      <w:pPr>
        <w:pStyle w:val="Akapitzlist"/>
        <w:numPr>
          <w:ilvl w:val="0"/>
          <w:numId w:val="25"/>
        </w:numPr>
        <w:jc w:val="both"/>
        <w:rPr>
          <w:rFonts w:ascii="Arial" w:eastAsia="Times New Roman" w:hAnsi="Arial" w:cs="Arial"/>
          <w:b/>
          <w:sz w:val="24"/>
          <w:szCs w:val="28"/>
        </w:rPr>
      </w:pPr>
      <w:r>
        <w:rPr>
          <w:rFonts w:ascii="Arial" w:eastAsia="Times New Roman" w:hAnsi="Arial" w:cs="Arial"/>
          <w:b/>
          <w:sz w:val="24"/>
          <w:szCs w:val="28"/>
        </w:rPr>
        <w:t>Zintegrowane guziczki Invisalign</w:t>
      </w:r>
      <w:r w:rsidRPr="00A72FE2">
        <w:rPr>
          <w:rFonts w:ascii="Arial" w:eastAsia="Times New Roman" w:hAnsi="Arial" w:cs="Arial"/>
          <w:b/>
          <w:sz w:val="24"/>
          <w:szCs w:val="28"/>
          <w:vertAlign w:val="superscript"/>
        </w:rPr>
        <w:t>®</w:t>
      </w:r>
      <w:r>
        <w:rPr>
          <w:rFonts w:ascii="Arial" w:eastAsia="Times New Roman" w:hAnsi="Arial" w:cs="Arial"/>
          <w:bCs/>
          <w:sz w:val="24"/>
          <w:szCs w:val="28"/>
        </w:rPr>
        <w:t xml:space="preserve"> - </w:t>
      </w:r>
      <w:r w:rsidR="00512A93">
        <w:rPr>
          <w:rFonts w:ascii="Arial" w:eastAsia="Times New Roman" w:hAnsi="Arial" w:cs="Arial"/>
          <w:bCs/>
          <w:sz w:val="24"/>
          <w:szCs w:val="28"/>
        </w:rPr>
        <w:t>c</w:t>
      </w:r>
      <w:r w:rsidR="00512A93" w:rsidRPr="00512A93">
        <w:rPr>
          <w:rFonts w:ascii="Arial" w:eastAsia="Times New Roman" w:hAnsi="Arial" w:cs="Arial"/>
          <w:bCs/>
          <w:sz w:val="24"/>
          <w:szCs w:val="28"/>
        </w:rPr>
        <w:t>yfrowe planowanie guzików ortodontycznych, czyli niewielkich elementów mocowanych do zębów, służących do zaczepiania wyciągów i wywierania określonych sił podczas leczenia. Integracja tego rozwiązania z procesem planowania terapii w oprogramowaniu ClinCheck</w:t>
      </w:r>
      <w:r w:rsidR="00512A93" w:rsidRPr="00CB4D44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="00512A93" w:rsidRPr="00512A93">
        <w:rPr>
          <w:rFonts w:ascii="Arial" w:eastAsia="Times New Roman" w:hAnsi="Arial" w:cs="Arial"/>
          <w:bCs/>
          <w:sz w:val="24"/>
          <w:szCs w:val="28"/>
        </w:rPr>
        <w:t xml:space="preserve"> zastępuje standardową procedurę manualną. Rodzaj i położenie guzików są określane bezpośrednio w oprogramowaniu na etapie planowania leczenia, co pomaga ograniczyć niepewność podczas wizyty, zwiększyć precyzję ich umieszczania oraz usprawnić korekcję zgryzu</w:t>
      </w:r>
      <w:r w:rsidR="00512A93">
        <w:rPr>
          <w:rFonts w:ascii="Arial" w:eastAsia="Times New Roman" w:hAnsi="Arial" w:cs="Arial"/>
          <w:bCs/>
          <w:sz w:val="24"/>
          <w:szCs w:val="28"/>
        </w:rPr>
        <w:t>.</w:t>
      </w:r>
    </w:p>
    <w:p w14:paraId="3713617B" w14:textId="0D4FA75D" w:rsidR="00512A93" w:rsidRDefault="00512A93" w:rsidP="00512A93">
      <w:pPr>
        <w:jc w:val="both"/>
        <w:rPr>
          <w:rFonts w:ascii="Arial" w:eastAsia="Times New Roman" w:hAnsi="Arial" w:cs="Arial"/>
          <w:b/>
          <w:sz w:val="24"/>
          <w:szCs w:val="28"/>
        </w:rPr>
      </w:pPr>
      <w:r w:rsidRPr="00512A93">
        <w:rPr>
          <w:rFonts w:ascii="Arial" w:eastAsia="Times New Roman" w:hAnsi="Arial" w:cs="Arial"/>
          <w:b/>
          <w:sz w:val="24"/>
          <w:szCs w:val="28"/>
        </w:rPr>
        <w:lastRenderedPageBreak/>
        <w:t>Rozwój cyfrowej ortodoncji i kierunki jej dalszego rozwoju</w:t>
      </w:r>
    </w:p>
    <w:p w14:paraId="1876AC3A" w14:textId="647F4189" w:rsidR="00512A93" w:rsidRDefault="00512A93" w:rsidP="00512A93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512A93">
        <w:rPr>
          <w:rFonts w:ascii="Arial" w:eastAsia="Times New Roman" w:hAnsi="Arial" w:cs="Arial"/>
          <w:bCs/>
          <w:sz w:val="24"/>
          <w:szCs w:val="28"/>
        </w:rPr>
        <w:t>Innowacje te wpisują się w działania Align Technology na rzecz rozwoju cyfrowej ortodoncji. Zintegrowana platforma firmy łączy narzędzia diagnostyczne, planowanie leczenia, projektowanie aparatów ortodontycznych oraz rozwiązania wspierające komunikację z pacjentami i ich zaangażowanie w proces leczenia</w:t>
      </w:r>
      <w:r>
        <w:rPr>
          <w:rFonts w:ascii="Arial" w:eastAsia="Times New Roman" w:hAnsi="Arial" w:cs="Arial"/>
          <w:bCs/>
          <w:sz w:val="24"/>
          <w:szCs w:val="28"/>
        </w:rPr>
        <w:t>.</w:t>
      </w:r>
    </w:p>
    <w:p w14:paraId="46E715EA" w14:textId="41A15900" w:rsidR="00512A93" w:rsidRDefault="00512A93" w:rsidP="00512A93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512A93">
        <w:rPr>
          <w:rFonts w:ascii="Arial" w:eastAsia="Times New Roman" w:hAnsi="Arial" w:cs="Arial"/>
          <w:bCs/>
          <w:sz w:val="24"/>
          <w:szCs w:val="28"/>
        </w:rPr>
        <w:t>Ułatwiając ortodontom skuteczniejsze omawianie możliwości leczenia z pacjentami, dokładniejsze planowanie terapii i prowadzenie leczenia w szerszym zakresie przypadków, Align Technology stale rozwija możliwości systemu Invisalign</w:t>
      </w:r>
      <w:r w:rsidRPr="00212102">
        <w:rPr>
          <w:rFonts w:ascii="Arial" w:eastAsia="Times New Roman" w:hAnsi="Arial" w:cs="Arial"/>
          <w:bCs/>
          <w:sz w:val="24"/>
          <w:szCs w:val="28"/>
          <w:vertAlign w:val="superscript"/>
        </w:rPr>
        <w:t>®</w:t>
      </w:r>
      <w:r w:rsidRPr="00512A93">
        <w:rPr>
          <w:rFonts w:ascii="Arial" w:eastAsia="Times New Roman" w:hAnsi="Arial" w:cs="Arial"/>
          <w:bCs/>
          <w:sz w:val="24"/>
          <w:szCs w:val="28"/>
        </w:rPr>
        <w:t>, wspierając większą przewidywalność efektów klinicznych oraz poprawę doświadczeń pacjentów</w:t>
      </w:r>
      <w:r>
        <w:rPr>
          <w:rFonts w:ascii="Arial" w:eastAsia="Times New Roman" w:hAnsi="Arial" w:cs="Arial"/>
          <w:bCs/>
          <w:sz w:val="24"/>
          <w:szCs w:val="28"/>
        </w:rPr>
        <w:t>.</w:t>
      </w:r>
    </w:p>
    <w:p w14:paraId="47167BCA" w14:textId="65100566" w:rsidR="00C33690" w:rsidRDefault="00C33690" w:rsidP="00512A93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C33690">
        <w:rPr>
          <w:rFonts w:ascii="Arial" w:eastAsia="Times New Roman" w:hAnsi="Arial" w:cs="Arial"/>
          <w:bCs/>
          <w:sz w:val="24"/>
          <w:szCs w:val="28"/>
        </w:rPr>
        <w:t>W ramach długoterminowej strategii Align Technology konsekwentnie rozwija w pełni zintegrowane procesy cyfrowe, które umożliwiają ortodontom prowadzenie efektywnego i spersonalizowanego leczenia z wykorzystaniem technologii cyfrowych – od pierwszej konsultacji po zakończenie terapii</w:t>
      </w:r>
      <w:r>
        <w:rPr>
          <w:rFonts w:ascii="Arial" w:eastAsia="Times New Roman" w:hAnsi="Arial" w:cs="Arial"/>
          <w:bCs/>
          <w:sz w:val="24"/>
          <w:szCs w:val="28"/>
        </w:rPr>
        <w:t>.</w:t>
      </w:r>
    </w:p>
    <w:p w14:paraId="12949A95" w14:textId="77777777" w:rsidR="00AA38F2" w:rsidRDefault="00AA38F2" w:rsidP="00512A93">
      <w:pPr>
        <w:jc w:val="both"/>
        <w:rPr>
          <w:rFonts w:ascii="Arial" w:eastAsia="Times New Roman" w:hAnsi="Arial" w:cs="Arial"/>
          <w:bCs/>
          <w:sz w:val="24"/>
          <w:szCs w:val="28"/>
        </w:rPr>
      </w:pPr>
    </w:p>
    <w:p w14:paraId="19360B5D" w14:textId="7C47176F" w:rsidR="00C33690" w:rsidRPr="00CB4D44" w:rsidRDefault="00C33690" w:rsidP="00512A93">
      <w:pPr>
        <w:jc w:val="both"/>
        <w:rPr>
          <w:rFonts w:ascii="Arial" w:eastAsia="Times New Roman" w:hAnsi="Arial" w:cs="Arial"/>
          <w:bCs/>
          <w:sz w:val="20"/>
        </w:rPr>
      </w:pPr>
      <w:r w:rsidRPr="00CB4D44">
        <w:rPr>
          <w:rFonts w:ascii="Arial" w:eastAsia="Times New Roman" w:hAnsi="Arial" w:cs="Arial"/>
          <w:bCs/>
          <w:sz w:val="20"/>
        </w:rPr>
        <w:t xml:space="preserve">*Dostępność produktów może różnić się w zależności od rynku i jest uzależniona od </w:t>
      </w:r>
      <w:r w:rsidR="00AA38F2">
        <w:rPr>
          <w:rFonts w:ascii="Arial" w:eastAsia="Times New Roman" w:hAnsi="Arial" w:cs="Arial"/>
          <w:bCs/>
          <w:sz w:val="20"/>
        </w:rPr>
        <w:t>wydania</w:t>
      </w:r>
      <w:r w:rsidRPr="00CB4D44">
        <w:rPr>
          <w:rFonts w:ascii="Arial" w:eastAsia="Times New Roman" w:hAnsi="Arial" w:cs="Arial"/>
          <w:bCs/>
          <w:sz w:val="20"/>
        </w:rPr>
        <w:t xml:space="preserve"> wymaganych zgód i pozwoleń regulacyjnych. Więcej informacji można uzyskać, kontaktując się z lokalnym zespołem Align.</w:t>
      </w:r>
    </w:p>
    <w:p w14:paraId="386A0066" w14:textId="77777777" w:rsidR="005A5FE5" w:rsidRDefault="005A5FE5" w:rsidP="00AF34DB">
      <w:pPr>
        <w:jc w:val="both"/>
        <w:rPr>
          <w:rFonts w:ascii="Arial" w:eastAsia="Times New Roman" w:hAnsi="Arial" w:cs="Arial"/>
          <w:b/>
          <w:sz w:val="20"/>
          <w:u w:val="single"/>
        </w:rPr>
      </w:pPr>
    </w:p>
    <w:p w14:paraId="555ECE7F" w14:textId="20667B13" w:rsidR="00220D56" w:rsidRPr="00AF34DB" w:rsidRDefault="00220D56" w:rsidP="00AF34DB">
      <w:pPr>
        <w:jc w:val="both"/>
        <w:rPr>
          <w:rFonts w:ascii="Arial" w:eastAsia="Times New Roman" w:hAnsi="Arial" w:cs="Arial"/>
          <w:bCs/>
          <w:sz w:val="24"/>
          <w:szCs w:val="28"/>
        </w:rPr>
      </w:pPr>
      <w:r w:rsidRPr="00B14D61">
        <w:rPr>
          <w:rFonts w:ascii="Arial" w:eastAsia="Times New Roman" w:hAnsi="Arial" w:cs="Arial"/>
          <w:b/>
          <w:sz w:val="20"/>
          <w:u w:val="single"/>
        </w:rPr>
        <w:t>O Align Technology</w:t>
      </w:r>
    </w:p>
    <w:p w14:paraId="3124BCFF" w14:textId="19EC22B3" w:rsidR="00220D56" w:rsidRPr="00A105F7" w:rsidRDefault="00220D56" w:rsidP="00220D56">
      <w:pPr>
        <w:spacing w:line="240" w:lineRule="auto"/>
        <w:jc w:val="both"/>
        <w:rPr>
          <w:rFonts w:ascii="Arial" w:eastAsia="Times New Roman" w:hAnsi="Arial" w:cs="Arial"/>
          <w:kern w:val="16"/>
          <w:sz w:val="20"/>
        </w:rPr>
      </w:pPr>
      <w:r w:rsidRPr="00A105F7">
        <w:rPr>
          <w:rFonts w:ascii="Arial" w:eastAsia="Times New Roman" w:hAnsi="Arial" w:cs="Arial"/>
          <w:kern w:val="16"/>
          <w:sz w:val="20"/>
        </w:rPr>
        <w:t>Firma Align Technology projektuje i produkuje system Invisalign</w:t>
      </w:r>
      <w:r w:rsidRPr="00A105F7">
        <w:rPr>
          <w:rFonts w:ascii="Arial" w:eastAsia="Times New Roman" w:hAnsi="Arial" w:cs="Arial"/>
          <w:kern w:val="16"/>
          <w:sz w:val="20"/>
          <w:vertAlign w:val="superscript"/>
        </w:rPr>
        <w:t>®</w:t>
      </w:r>
      <w:r w:rsidRPr="00A105F7">
        <w:rPr>
          <w:rFonts w:ascii="Arial" w:eastAsia="Times New Roman" w:hAnsi="Arial" w:cs="Arial"/>
          <w:kern w:val="16"/>
          <w:sz w:val="20"/>
        </w:rPr>
        <w:t xml:space="preserve">, najbardziej zaawansowany system przezroczystych nakładek na świecie, skanery wewnątrzustne iTero™ oraz usługi i oprogramowanie CAD/CAM exocad™. Technologie te pozwalają na udoskonalenie cyfrowych procesów ortodontycznych i protetycznych w celu poprawy wyników leczenia pacjentów i efektywności praktyki dla ponad </w:t>
      </w:r>
      <w:r w:rsidR="00A56138">
        <w:rPr>
          <w:rFonts w:ascii="Arial" w:eastAsia="Times New Roman" w:hAnsi="Arial" w:cs="Arial"/>
          <w:kern w:val="16"/>
          <w:sz w:val="20"/>
        </w:rPr>
        <w:t>302 000</w:t>
      </w:r>
      <w:r w:rsidRPr="00A105F7">
        <w:rPr>
          <w:rFonts w:ascii="Arial" w:eastAsia="Times New Roman" w:hAnsi="Arial" w:cs="Arial"/>
          <w:kern w:val="16"/>
          <w:sz w:val="20"/>
        </w:rPr>
        <w:t xml:space="preserve"> lekarzy, a także są kluczowe w dotarciu firmy Align do 600 milionów konsumentów na całym świecie. W ciągu ostatnich 29 lat Align pomógł lekarzom w leczeniu ok. </w:t>
      </w:r>
      <w:r w:rsidR="00A56138">
        <w:rPr>
          <w:rFonts w:ascii="Arial" w:eastAsia="Times New Roman" w:hAnsi="Arial" w:cs="Arial"/>
          <w:kern w:val="16"/>
          <w:sz w:val="20"/>
        </w:rPr>
        <w:t>23.5</w:t>
      </w:r>
      <w:r w:rsidRPr="00A105F7">
        <w:rPr>
          <w:rFonts w:ascii="Arial" w:eastAsia="Times New Roman" w:hAnsi="Arial" w:cs="Arial"/>
          <w:kern w:val="16"/>
          <w:sz w:val="20"/>
        </w:rPr>
        <w:t xml:space="preserve"> milionów pacjentów poprzez system</w:t>
      </w:r>
      <w:r>
        <w:rPr>
          <w:rFonts w:ascii="Arial" w:eastAsia="Times New Roman" w:hAnsi="Arial" w:cs="Arial"/>
          <w:kern w:val="16"/>
          <w:sz w:val="20"/>
        </w:rPr>
        <w:t xml:space="preserve"> </w:t>
      </w:r>
      <w:r w:rsidRPr="00A105F7">
        <w:rPr>
          <w:rFonts w:ascii="Arial" w:eastAsia="Times New Roman" w:hAnsi="Arial" w:cs="Arial"/>
          <w:kern w:val="16"/>
          <w:sz w:val="20"/>
        </w:rPr>
        <w:t xml:space="preserve">Invisalign i napędza ewolucję cyfrowej stomatologii poprzez Align Digital Platform™, zintegrowany pakiet unikatowych, zastrzeżonych technologii i usług dostarczanych w postaci bezproblemowych, kompleksowych rozwiązań dla pacjentów i konsumentów, ortodontów i stomatologów oraz laboratoriów/partnerów. Jest ona także motorem napędowym ewolucji cyfrowej w dziedzinie stomatologii. Więcej informacji na </w:t>
      </w:r>
      <w:hyperlink r:id="rId8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www.aligntech.com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>.</w:t>
      </w:r>
    </w:p>
    <w:p w14:paraId="3D21D114" w14:textId="20DECB2F" w:rsidR="00220D56" w:rsidRPr="008B42A2" w:rsidRDefault="00220D56" w:rsidP="008B42A2">
      <w:pPr>
        <w:spacing w:line="240" w:lineRule="auto"/>
        <w:jc w:val="both"/>
        <w:rPr>
          <w:rFonts w:ascii="Arial" w:eastAsia="Times New Roman" w:hAnsi="Arial" w:cs="Arial"/>
          <w:kern w:val="16"/>
          <w:sz w:val="20"/>
        </w:rPr>
      </w:pPr>
      <w:r w:rsidRPr="00A105F7">
        <w:rPr>
          <w:rFonts w:ascii="Arial" w:eastAsia="Times New Roman" w:hAnsi="Arial" w:cs="Arial"/>
          <w:kern w:val="16"/>
          <w:sz w:val="20"/>
        </w:rPr>
        <w:t xml:space="preserve">Dodatkowe informacje na temat systemu Invisalign i wyszukiwarka lekarzy Invisalign dostępne są na </w:t>
      </w:r>
      <w:hyperlink r:id="rId9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www.invisalign.com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 xml:space="preserve">. Dodatkowe informacje o skanerach i usługach iTero znajdują się na stronie </w:t>
      </w:r>
      <w:hyperlink r:id="rId10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www.itero.com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 xml:space="preserve">. Dodatkowe informacje o ofercie oprogramowania CAD/CAM exocad oraz listę partnerów handlowych można znaleźć na stronie </w:t>
      </w:r>
      <w:hyperlink r:id="rId11" w:history="1">
        <w:r w:rsidRPr="00A105F7">
          <w:rPr>
            <w:rStyle w:val="Hipercze"/>
            <w:rFonts w:ascii="Arial" w:eastAsia="Times New Roman" w:hAnsi="Arial" w:cs="Arial"/>
            <w:kern w:val="16"/>
            <w:sz w:val="20"/>
          </w:rPr>
          <w:t>www.exocad.com</w:t>
        </w:r>
      </w:hyperlink>
      <w:r w:rsidRPr="00A105F7">
        <w:rPr>
          <w:rFonts w:ascii="Arial" w:eastAsia="Times New Roman" w:hAnsi="Arial" w:cs="Arial"/>
          <w:kern w:val="16"/>
          <w:sz w:val="20"/>
        </w:rPr>
        <w:t>.</w:t>
      </w:r>
    </w:p>
    <w:sectPr w:rsidR="00220D56" w:rsidRPr="008B42A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7121" w14:textId="77777777" w:rsidR="0042225F" w:rsidRDefault="0042225F" w:rsidP="00A25CC5">
      <w:pPr>
        <w:spacing w:after="0" w:line="240" w:lineRule="auto"/>
      </w:pPr>
      <w:r>
        <w:separator/>
      </w:r>
    </w:p>
  </w:endnote>
  <w:endnote w:type="continuationSeparator" w:id="0">
    <w:p w14:paraId="44C32699" w14:textId="77777777" w:rsidR="0042225F" w:rsidRDefault="0042225F" w:rsidP="00A25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11A0C" w14:textId="77777777" w:rsidR="0042225F" w:rsidRDefault="0042225F" w:rsidP="00A25CC5">
      <w:pPr>
        <w:spacing w:after="0" w:line="240" w:lineRule="auto"/>
      </w:pPr>
      <w:r>
        <w:separator/>
      </w:r>
    </w:p>
  </w:footnote>
  <w:footnote w:type="continuationSeparator" w:id="0">
    <w:p w14:paraId="11C5C27D" w14:textId="77777777" w:rsidR="0042225F" w:rsidRDefault="0042225F" w:rsidP="00A25CC5">
      <w:pPr>
        <w:spacing w:after="0" w:line="240" w:lineRule="auto"/>
      </w:pPr>
      <w:r>
        <w:continuationSeparator/>
      </w:r>
    </w:p>
  </w:footnote>
  <w:footnote w:id="1">
    <w:p w14:paraId="5179F74E" w14:textId="4806FEA1" w:rsidR="005A5FE5" w:rsidRDefault="005A5FE5">
      <w:pPr>
        <w:pStyle w:val="Tekstprzypisudolnego"/>
      </w:pPr>
      <w:r>
        <w:rPr>
          <w:rStyle w:val="Odwoanieprzypisudolnego"/>
        </w:rPr>
        <w:footnoteRef/>
      </w:r>
      <w:r w:rsidRPr="00C33690">
        <w:t xml:space="preserve"> </w:t>
      </w:r>
      <w:r w:rsidR="00C33690" w:rsidRPr="00C33690">
        <w:t xml:space="preserve">Na podstawie porównania zaakceptowanych planów leczenia ClinCheck® dotyczących 9,6 mln pacjentów leczonych przez lekarzy stomatologów ogólnych (GP), w przypadku których zastosowano Invisalign® Outcome Simulator Pro, z przypadkami, w których nie korzystano z tego narzędzia. Invisalign® Outcome Simulator Pro umożliwia wizualizację potencjalnych efektów leczenia Invisalign® z wykorzystaniem modelu 3D, wizualizacji uśmiechu na twarzy pacjenta oraz filmu prezentującego uśmiech. </w:t>
      </w:r>
      <w:r w:rsidR="00C33690" w:rsidRPr="00CD72AD">
        <w:t>Dane własne Align Technology, stan na 5 listopada 2025 r.</w:t>
      </w:r>
    </w:p>
  </w:footnote>
  <w:footnote w:id="2">
    <w:p w14:paraId="41DBB544" w14:textId="11907DD4" w:rsidR="00A72FE2" w:rsidRPr="00C33690" w:rsidRDefault="00A72FE2">
      <w:pPr>
        <w:pStyle w:val="Tekstprzypisudolnego"/>
      </w:pPr>
      <w:r>
        <w:rPr>
          <w:rStyle w:val="Odwoanieprzypisudolnego"/>
        </w:rPr>
        <w:footnoteRef/>
      </w:r>
      <w:r w:rsidRPr="00C33690">
        <w:t xml:space="preserve"> </w:t>
      </w:r>
      <w:r w:rsidR="00C33690" w:rsidRPr="00C33690">
        <w:t>Na podstawie danych dotyczących 49 pacjentów w wieku 7–11 lat, od których otrzymano skany wewnątrzustne wykonane przed ekspansją i po jej zakończeniu w ramach leczenia z zastosowaniem Invisalign® Palatal Expander. Dane własne Align Technology, stan na 5 lutego 2024 r.</w:t>
      </w:r>
    </w:p>
  </w:footnote>
  <w:footnote w:id="3">
    <w:p w14:paraId="5E3E75F9" w14:textId="76E1AA8C" w:rsidR="00A72FE2" w:rsidRPr="00A72FE2" w:rsidRDefault="00A72FE2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C33690">
        <w:t xml:space="preserve"> </w:t>
      </w:r>
      <w:r w:rsidR="00C33690" w:rsidRPr="00C33690">
        <w:t>Na podstawie testów laboratoryjnych przeprowadzonych w sierpniu 2025 r. zgodnie z procedurą weryfikacji projektu dotyczącą precyzji objętości attachmentów Specifix™ (A035851). Dane własne Align Technology, stan na 28 stycznia 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CC918" w14:textId="1FCF227D" w:rsidR="00A25CC5" w:rsidRDefault="00A25CC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6AC5A9" wp14:editId="0EC87ACA">
          <wp:simplePos x="0" y="0"/>
          <wp:positionH relativeFrom="margin">
            <wp:align>right</wp:align>
          </wp:positionH>
          <wp:positionV relativeFrom="paragraph">
            <wp:posOffset>-121285</wp:posOffset>
          </wp:positionV>
          <wp:extent cx="984250" cy="413385"/>
          <wp:effectExtent l="0" t="0" r="6350" b="571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FCB"/>
    <w:multiLevelType w:val="multilevel"/>
    <w:tmpl w:val="A4C4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744C7"/>
    <w:multiLevelType w:val="multilevel"/>
    <w:tmpl w:val="AC82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0615"/>
    <w:multiLevelType w:val="multilevel"/>
    <w:tmpl w:val="0E4C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30AE4"/>
    <w:multiLevelType w:val="hybridMultilevel"/>
    <w:tmpl w:val="74FC8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12CF7"/>
    <w:multiLevelType w:val="hybridMultilevel"/>
    <w:tmpl w:val="836C6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2107"/>
    <w:multiLevelType w:val="hybridMultilevel"/>
    <w:tmpl w:val="CE90E38C"/>
    <w:lvl w:ilvl="0" w:tplc="6AF6E4B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5243A"/>
    <w:multiLevelType w:val="hybridMultilevel"/>
    <w:tmpl w:val="224075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B1A7B"/>
    <w:multiLevelType w:val="multilevel"/>
    <w:tmpl w:val="406A8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57662"/>
    <w:multiLevelType w:val="hybridMultilevel"/>
    <w:tmpl w:val="138AE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C2A01"/>
    <w:multiLevelType w:val="hybridMultilevel"/>
    <w:tmpl w:val="49CED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825E3"/>
    <w:multiLevelType w:val="hybridMultilevel"/>
    <w:tmpl w:val="55A63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37E97"/>
    <w:multiLevelType w:val="hybridMultilevel"/>
    <w:tmpl w:val="5C0CB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9425D"/>
    <w:multiLevelType w:val="hybridMultilevel"/>
    <w:tmpl w:val="76808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F01DE"/>
    <w:multiLevelType w:val="hybridMultilevel"/>
    <w:tmpl w:val="B9E03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674D5"/>
    <w:multiLevelType w:val="hybridMultilevel"/>
    <w:tmpl w:val="D868B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106EE"/>
    <w:multiLevelType w:val="hybridMultilevel"/>
    <w:tmpl w:val="FB44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D085E"/>
    <w:multiLevelType w:val="hybridMultilevel"/>
    <w:tmpl w:val="66F06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D423A"/>
    <w:multiLevelType w:val="multilevel"/>
    <w:tmpl w:val="DBC82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0D721B"/>
    <w:multiLevelType w:val="multilevel"/>
    <w:tmpl w:val="8EFA8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896598"/>
    <w:multiLevelType w:val="hybridMultilevel"/>
    <w:tmpl w:val="91282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D79EB"/>
    <w:multiLevelType w:val="hybridMultilevel"/>
    <w:tmpl w:val="20326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880562"/>
    <w:multiLevelType w:val="hybridMultilevel"/>
    <w:tmpl w:val="8068A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D7A5D"/>
    <w:multiLevelType w:val="hybridMultilevel"/>
    <w:tmpl w:val="1D5CA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D708A"/>
    <w:multiLevelType w:val="hybridMultilevel"/>
    <w:tmpl w:val="39F62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03C9A"/>
    <w:multiLevelType w:val="multilevel"/>
    <w:tmpl w:val="4648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45198">
    <w:abstractNumId w:val="5"/>
  </w:num>
  <w:num w:numId="2" w16cid:durableId="1984892401">
    <w:abstractNumId w:val="8"/>
  </w:num>
  <w:num w:numId="3" w16cid:durableId="176426455">
    <w:abstractNumId w:val="6"/>
  </w:num>
  <w:num w:numId="4" w16cid:durableId="184296899">
    <w:abstractNumId w:val="22"/>
  </w:num>
  <w:num w:numId="5" w16cid:durableId="226384931">
    <w:abstractNumId w:val="20"/>
  </w:num>
  <w:num w:numId="6" w16cid:durableId="1739522472">
    <w:abstractNumId w:val="11"/>
  </w:num>
  <w:num w:numId="7" w16cid:durableId="1712657208">
    <w:abstractNumId w:val="0"/>
  </w:num>
  <w:num w:numId="8" w16cid:durableId="2095318412">
    <w:abstractNumId w:val="18"/>
  </w:num>
  <w:num w:numId="9" w16cid:durableId="1465924290">
    <w:abstractNumId w:val="2"/>
  </w:num>
  <w:num w:numId="10" w16cid:durableId="835993291">
    <w:abstractNumId w:val="1"/>
  </w:num>
  <w:num w:numId="11" w16cid:durableId="1726638377">
    <w:abstractNumId w:val="7"/>
  </w:num>
  <w:num w:numId="12" w16cid:durableId="1400597787">
    <w:abstractNumId w:val="24"/>
  </w:num>
  <w:num w:numId="13" w16cid:durableId="318193164">
    <w:abstractNumId w:val="4"/>
  </w:num>
  <w:num w:numId="14" w16cid:durableId="544564129">
    <w:abstractNumId w:val="19"/>
  </w:num>
  <w:num w:numId="15" w16cid:durableId="702903294">
    <w:abstractNumId w:val="13"/>
  </w:num>
  <w:num w:numId="16" w16cid:durableId="521094287">
    <w:abstractNumId w:val="15"/>
  </w:num>
  <w:num w:numId="17" w16cid:durableId="133985596">
    <w:abstractNumId w:val="16"/>
  </w:num>
  <w:num w:numId="18" w16cid:durableId="834953132">
    <w:abstractNumId w:val="3"/>
  </w:num>
  <w:num w:numId="19" w16cid:durableId="229198019">
    <w:abstractNumId w:val="17"/>
  </w:num>
  <w:num w:numId="20" w16cid:durableId="604969987">
    <w:abstractNumId w:val="14"/>
  </w:num>
  <w:num w:numId="21" w16cid:durableId="961035233">
    <w:abstractNumId w:val="23"/>
  </w:num>
  <w:num w:numId="22" w16cid:durableId="1749380200">
    <w:abstractNumId w:val="10"/>
  </w:num>
  <w:num w:numId="23" w16cid:durableId="129059989">
    <w:abstractNumId w:val="12"/>
  </w:num>
  <w:num w:numId="24" w16cid:durableId="2122913078">
    <w:abstractNumId w:val="21"/>
  </w:num>
  <w:num w:numId="25" w16cid:durableId="6650867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66"/>
    <w:rsid w:val="00005382"/>
    <w:rsid w:val="00005603"/>
    <w:rsid w:val="000066B5"/>
    <w:rsid w:val="000177D8"/>
    <w:rsid w:val="00020F2D"/>
    <w:rsid w:val="000428F8"/>
    <w:rsid w:val="00044253"/>
    <w:rsid w:val="00045788"/>
    <w:rsid w:val="000463F1"/>
    <w:rsid w:val="00047F96"/>
    <w:rsid w:val="00053A93"/>
    <w:rsid w:val="00060439"/>
    <w:rsid w:val="00075168"/>
    <w:rsid w:val="000775D2"/>
    <w:rsid w:val="00077EB7"/>
    <w:rsid w:val="00082CB7"/>
    <w:rsid w:val="00092364"/>
    <w:rsid w:val="000941A9"/>
    <w:rsid w:val="000941FD"/>
    <w:rsid w:val="000B5F91"/>
    <w:rsid w:val="000B6EA6"/>
    <w:rsid w:val="000C6287"/>
    <w:rsid w:val="000D1CF6"/>
    <w:rsid w:val="000D48A2"/>
    <w:rsid w:val="000D6AAA"/>
    <w:rsid w:val="000E63AA"/>
    <w:rsid w:val="000F5C74"/>
    <w:rsid w:val="000F7CB8"/>
    <w:rsid w:val="00117BF4"/>
    <w:rsid w:val="00120DEF"/>
    <w:rsid w:val="0012363E"/>
    <w:rsid w:val="00125F7F"/>
    <w:rsid w:val="00136C87"/>
    <w:rsid w:val="00142283"/>
    <w:rsid w:val="00183089"/>
    <w:rsid w:val="00185DAB"/>
    <w:rsid w:val="00186E08"/>
    <w:rsid w:val="001912BC"/>
    <w:rsid w:val="00192438"/>
    <w:rsid w:val="0019311E"/>
    <w:rsid w:val="0019764C"/>
    <w:rsid w:val="001A60A4"/>
    <w:rsid w:val="001B2F89"/>
    <w:rsid w:val="001B3654"/>
    <w:rsid w:val="001C14D3"/>
    <w:rsid w:val="001C16FF"/>
    <w:rsid w:val="001E05C4"/>
    <w:rsid w:val="001E2B2F"/>
    <w:rsid w:val="001E37AD"/>
    <w:rsid w:val="001E3D52"/>
    <w:rsid w:val="001E44D0"/>
    <w:rsid w:val="001E7A6D"/>
    <w:rsid w:val="001F0166"/>
    <w:rsid w:val="001F55FB"/>
    <w:rsid w:val="00210D03"/>
    <w:rsid w:val="00212102"/>
    <w:rsid w:val="0021772C"/>
    <w:rsid w:val="00217C8D"/>
    <w:rsid w:val="00220D56"/>
    <w:rsid w:val="00221FDE"/>
    <w:rsid w:val="0022372A"/>
    <w:rsid w:val="0022383D"/>
    <w:rsid w:val="0022409C"/>
    <w:rsid w:val="00231B5E"/>
    <w:rsid w:val="00240BFD"/>
    <w:rsid w:val="00247553"/>
    <w:rsid w:val="00274BD0"/>
    <w:rsid w:val="00274C19"/>
    <w:rsid w:val="0028129E"/>
    <w:rsid w:val="002A0825"/>
    <w:rsid w:val="002A3C5B"/>
    <w:rsid w:val="002B0F0F"/>
    <w:rsid w:val="002B6D0E"/>
    <w:rsid w:val="002C36EE"/>
    <w:rsid w:val="002D2C35"/>
    <w:rsid w:val="002D7213"/>
    <w:rsid w:val="00301D45"/>
    <w:rsid w:val="00313AAC"/>
    <w:rsid w:val="00331170"/>
    <w:rsid w:val="00340074"/>
    <w:rsid w:val="00340683"/>
    <w:rsid w:val="003525FD"/>
    <w:rsid w:val="00353B4E"/>
    <w:rsid w:val="00363AF4"/>
    <w:rsid w:val="0036602D"/>
    <w:rsid w:val="0036740A"/>
    <w:rsid w:val="00373984"/>
    <w:rsid w:val="003962BF"/>
    <w:rsid w:val="003A2507"/>
    <w:rsid w:val="003A7835"/>
    <w:rsid w:val="003B3104"/>
    <w:rsid w:val="003B70E6"/>
    <w:rsid w:val="003C1265"/>
    <w:rsid w:val="003C5150"/>
    <w:rsid w:val="003D245E"/>
    <w:rsid w:val="003E2A0F"/>
    <w:rsid w:val="003F0517"/>
    <w:rsid w:val="00400F7D"/>
    <w:rsid w:val="004074FA"/>
    <w:rsid w:val="00411C75"/>
    <w:rsid w:val="00412410"/>
    <w:rsid w:val="00416CA9"/>
    <w:rsid w:val="004214B9"/>
    <w:rsid w:val="0042225F"/>
    <w:rsid w:val="00441376"/>
    <w:rsid w:val="00442F11"/>
    <w:rsid w:val="004579DE"/>
    <w:rsid w:val="004602F8"/>
    <w:rsid w:val="00462A46"/>
    <w:rsid w:val="00471768"/>
    <w:rsid w:val="00475FE0"/>
    <w:rsid w:val="00487BA4"/>
    <w:rsid w:val="004A112E"/>
    <w:rsid w:val="004B42F9"/>
    <w:rsid w:val="004C147C"/>
    <w:rsid w:val="004C416E"/>
    <w:rsid w:val="004E2FEE"/>
    <w:rsid w:val="004E4CAC"/>
    <w:rsid w:val="004E56E7"/>
    <w:rsid w:val="00501CC4"/>
    <w:rsid w:val="00507701"/>
    <w:rsid w:val="00512A93"/>
    <w:rsid w:val="00512EF1"/>
    <w:rsid w:val="00522C0A"/>
    <w:rsid w:val="00522E67"/>
    <w:rsid w:val="00523293"/>
    <w:rsid w:val="00526C48"/>
    <w:rsid w:val="005355EC"/>
    <w:rsid w:val="00540FAD"/>
    <w:rsid w:val="00551A8C"/>
    <w:rsid w:val="00560C0B"/>
    <w:rsid w:val="00571B2F"/>
    <w:rsid w:val="00575B78"/>
    <w:rsid w:val="00582C41"/>
    <w:rsid w:val="0058484D"/>
    <w:rsid w:val="00585713"/>
    <w:rsid w:val="00590018"/>
    <w:rsid w:val="0059017D"/>
    <w:rsid w:val="00592764"/>
    <w:rsid w:val="005938C6"/>
    <w:rsid w:val="00595C73"/>
    <w:rsid w:val="005A2D2A"/>
    <w:rsid w:val="005A5FE5"/>
    <w:rsid w:val="005B0CF0"/>
    <w:rsid w:val="005B3380"/>
    <w:rsid w:val="005C5376"/>
    <w:rsid w:val="005D002D"/>
    <w:rsid w:val="005D3FEC"/>
    <w:rsid w:val="005D6CFE"/>
    <w:rsid w:val="005E10AD"/>
    <w:rsid w:val="005F4243"/>
    <w:rsid w:val="006001CC"/>
    <w:rsid w:val="00602055"/>
    <w:rsid w:val="00606070"/>
    <w:rsid w:val="006239C5"/>
    <w:rsid w:val="00636525"/>
    <w:rsid w:val="00637A51"/>
    <w:rsid w:val="00642313"/>
    <w:rsid w:val="00647EBC"/>
    <w:rsid w:val="00657CAE"/>
    <w:rsid w:val="00657F91"/>
    <w:rsid w:val="00661640"/>
    <w:rsid w:val="0066190C"/>
    <w:rsid w:val="00661AAE"/>
    <w:rsid w:val="006644E7"/>
    <w:rsid w:val="00672C80"/>
    <w:rsid w:val="00674BCF"/>
    <w:rsid w:val="00675641"/>
    <w:rsid w:val="006819C0"/>
    <w:rsid w:val="00683A46"/>
    <w:rsid w:val="006854BC"/>
    <w:rsid w:val="00694802"/>
    <w:rsid w:val="006A209A"/>
    <w:rsid w:val="006A3AD6"/>
    <w:rsid w:val="006A5D8F"/>
    <w:rsid w:val="006A7D6D"/>
    <w:rsid w:val="006B4784"/>
    <w:rsid w:val="006C52FB"/>
    <w:rsid w:val="006C76FE"/>
    <w:rsid w:val="006D0CA6"/>
    <w:rsid w:val="006D1BE0"/>
    <w:rsid w:val="006E1275"/>
    <w:rsid w:val="006E1818"/>
    <w:rsid w:val="006F0B49"/>
    <w:rsid w:val="006F2BFD"/>
    <w:rsid w:val="006F2D75"/>
    <w:rsid w:val="006F35A1"/>
    <w:rsid w:val="006F6A67"/>
    <w:rsid w:val="006F7DC5"/>
    <w:rsid w:val="00701092"/>
    <w:rsid w:val="00703721"/>
    <w:rsid w:val="007116CF"/>
    <w:rsid w:val="00716C8B"/>
    <w:rsid w:val="00727983"/>
    <w:rsid w:val="00740962"/>
    <w:rsid w:val="00760ABE"/>
    <w:rsid w:val="00762576"/>
    <w:rsid w:val="0076489B"/>
    <w:rsid w:val="0078385F"/>
    <w:rsid w:val="007A1E5C"/>
    <w:rsid w:val="007B1C31"/>
    <w:rsid w:val="007B390E"/>
    <w:rsid w:val="007B3B67"/>
    <w:rsid w:val="007B430E"/>
    <w:rsid w:val="007C3D80"/>
    <w:rsid w:val="007C476B"/>
    <w:rsid w:val="007D032F"/>
    <w:rsid w:val="007D03D1"/>
    <w:rsid w:val="007D4466"/>
    <w:rsid w:val="007E164A"/>
    <w:rsid w:val="007E2112"/>
    <w:rsid w:val="007E37B2"/>
    <w:rsid w:val="008057A0"/>
    <w:rsid w:val="0081003A"/>
    <w:rsid w:val="008163A1"/>
    <w:rsid w:val="00825A8D"/>
    <w:rsid w:val="008504FB"/>
    <w:rsid w:val="00855BDF"/>
    <w:rsid w:val="0085617A"/>
    <w:rsid w:val="00860970"/>
    <w:rsid w:val="00866BC0"/>
    <w:rsid w:val="008776C8"/>
    <w:rsid w:val="00880F77"/>
    <w:rsid w:val="00892755"/>
    <w:rsid w:val="008A69BF"/>
    <w:rsid w:val="008B2BCD"/>
    <w:rsid w:val="008B42A2"/>
    <w:rsid w:val="008C30FA"/>
    <w:rsid w:val="008C5209"/>
    <w:rsid w:val="008C76B5"/>
    <w:rsid w:val="008D0A3C"/>
    <w:rsid w:val="008D2F58"/>
    <w:rsid w:val="008D74A0"/>
    <w:rsid w:val="008D76C4"/>
    <w:rsid w:val="008E0AE8"/>
    <w:rsid w:val="008F60FB"/>
    <w:rsid w:val="00900F18"/>
    <w:rsid w:val="0091024C"/>
    <w:rsid w:val="00911E78"/>
    <w:rsid w:val="00926029"/>
    <w:rsid w:val="00931E0D"/>
    <w:rsid w:val="00944E16"/>
    <w:rsid w:val="0096654A"/>
    <w:rsid w:val="009707D0"/>
    <w:rsid w:val="00973724"/>
    <w:rsid w:val="009763E9"/>
    <w:rsid w:val="0097686D"/>
    <w:rsid w:val="0098055E"/>
    <w:rsid w:val="0098235F"/>
    <w:rsid w:val="00992457"/>
    <w:rsid w:val="00992990"/>
    <w:rsid w:val="009A21AA"/>
    <w:rsid w:val="009A601C"/>
    <w:rsid w:val="009A7DE2"/>
    <w:rsid w:val="009A7E50"/>
    <w:rsid w:val="009B29CF"/>
    <w:rsid w:val="009B4CF1"/>
    <w:rsid w:val="009C1CF0"/>
    <w:rsid w:val="009C3522"/>
    <w:rsid w:val="009D4FA0"/>
    <w:rsid w:val="009E016E"/>
    <w:rsid w:val="009F6B13"/>
    <w:rsid w:val="00A111AB"/>
    <w:rsid w:val="00A11223"/>
    <w:rsid w:val="00A13B0E"/>
    <w:rsid w:val="00A13B9A"/>
    <w:rsid w:val="00A1429A"/>
    <w:rsid w:val="00A23E96"/>
    <w:rsid w:val="00A25929"/>
    <w:rsid w:val="00A25CC5"/>
    <w:rsid w:val="00A26B64"/>
    <w:rsid w:val="00A56138"/>
    <w:rsid w:val="00A644C0"/>
    <w:rsid w:val="00A65327"/>
    <w:rsid w:val="00A702D7"/>
    <w:rsid w:val="00A72FE2"/>
    <w:rsid w:val="00A94AF9"/>
    <w:rsid w:val="00AA048D"/>
    <w:rsid w:val="00AA38F2"/>
    <w:rsid w:val="00AC53FD"/>
    <w:rsid w:val="00AD0C1F"/>
    <w:rsid w:val="00AE0079"/>
    <w:rsid w:val="00AF2891"/>
    <w:rsid w:val="00AF34DB"/>
    <w:rsid w:val="00AF5CFC"/>
    <w:rsid w:val="00B01A13"/>
    <w:rsid w:val="00B02FE3"/>
    <w:rsid w:val="00B109F6"/>
    <w:rsid w:val="00B12571"/>
    <w:rsid w:val="00B159E8"/>
    <w:rsid w:val="00B17429"/>
    <w:rsid w:val="00B271D6"/>
    <w:rsid w:val="00B3196B"/>
    <w:rsid w:val="00B32C18"/>
    <w:rsid w:val="00B370EE"/>
    <w:rsid w:val="00B3782C"/>
    <w:rsid w:val="00B405A8"/>
    <w:rsid w:val="00B429A3"/>
    <w:rsid w:val="00B5559E"/>
    <w:rsid w:val="00B67AE5"/>
    <w:rsid w:val="00B7062F"/>
    <w:rsid w:val="00B71902"/>
    <w:rsid w:val="00B745CF"/>
    <w:rsid w:val="00B80061"/>
    <w:rsid w:val="00B86E48"/>
    <w:rsid w:val="00B92EDF"/>
    <w:rsid w:val="00B94597"/>
    <w:rsid w:val="00B977C4"/>
    <w:rsid w:val="00BA0396"/>
    <w:rsid w:val="00BA2334"/>
    <w:rsid w:val="00BA2FBF"/>
    <w:rsid w:val="00BA5BE6"/>
    <w:rsid w:val="00BA6756"/>
    <w:rsid w:val="00BB0A7C"/>
    <w:rsid w:val="00BB10AC"/>
    <w:rsid w:val="00BB32E7"/>
    <w:rsid w:val="00BB45BF"/>
    <w:rsid w:val="00BC5B09"/>
    <w:rsid w:val="00BD5DAE"/>
    <w:rsid w:val="00BE1972"/>
    <w:rsid w:val="00BE2626"/>
    <w:rsid w:val="00BE2FF0"/>
    <w:rsid w:val="00BE30EF"/>
    <w:rsid w:val="00BE3616"/>
    <w:rsid w:val="00BE4FA2"/>
    <w:rsid w:val="00BF187D"/>
    <w:rsid w:val="00BF2640"/>
    <w:rsid w:val="00BF6AA2"/>
    <w:rsid w:val="00BF7B09"/>
    <w:rsid w:val="00C03920"/>
    <w:rsid w:val="00C10036"/>
    <w:rsid w:val="00C1180A"/>
    <w:rsid w:val="00C22482"/>
    <w:rsid w:val="00C25778"/>
    <w:rsid w:val="00C33690"/>
    <w:rsid w:val="00C4163E"/>
    <w:rsid w:val="00C50110"/>
    <w:rsid w:val="00C512F0"/>
    <w:rsid w:val="00C544D4"/>
    <w:rsid w:val="00C70B0A"/>
    <w:rsid w:val="00C92267"/>
    <w:rsid w:val="00C97520"/>
    <w:rsid w:val="00C9788B"/>
    <w:rsid w:val="00CA5296"/>
    <w:rsid w:val="00CB4974"/>
    <w:rsid w:val="00CB4D44"/>
    <w:rsid w:val="00CC2033"/>
    <w:rsid w:val="00CC2E8F"/>
    <w:rsid w:val="00CC5799"/>
    <w:rsid w:val="00CD2565"/>
    <w:rsid w:val="00CD598B"/>
    <w:rsid w:val="00CD72AD"/>
    <w:rsid w:val="00CE2D49"/>
    <w:rsid w:val="00CE43CD"/>
    <w:rsid w:val="00CF2253"/>
    <w:rsid w:val="00CF2955"/>
    <w:rsid w:val="00CF6394"/>
    <w:rsid w:val="00D04693"/>
    <w:rsid w:val="00D247D9"/>
    <w:rsid w:val="00D26ADC"/>
    <w:rsid w:val="00D35490"/>
    <w:rsid w:val="00D529C7"/>
    <w:rsid w:val="00D57AA3"/>
    <w:rsid w:val="00D65719"/>
    <w:rsid w:val="00D750E8"/>
    <w:rsid w:val="00D877EB"/>
    <w:rsid w:val="00D92F66"/>
    <w:rsid w:val="00DA3EDB"/>
    <w:rsid w:val="00DC1FBB"/>
    <w:rsid w:val="00DC3591"/>
    <w:rsid w:val="00DD192C"/>
    <w:rsid w:val="00DD4A00"/>
    <w:rsid w:val="00DD7FEE"/>
    <w:rsid w:val="00DE5787"/>
    <w:rsid w:val="00DF7913"/>
    <w:rsid w:val="00E11A6A"/>
    <w:rsid w:val="00E126E2"/>
    <w:rsid w:val="00E32ECF"/>
    <w:rsid w:val="00E335F7"/>
    <w:rsid w:val="00E362B3"/>
    <w:rsid w:val="00E44A0B"/>
    <w:rsid w:val="00E45D8D"/>
    <w:rsid w:val="00E46080"/>
    <w:rsid w:val="00E47241"/>
    <w:rsid w:val="00E5395A"/>
    <w:rsid w:val="00E60A8F"/>
    <w:rsid w:val="00E8245F"/>
    <w:rsid w:val="00E91FF1"/>
    <w:rsid w:val="00EA0554"/>
    <w:rsid w:val="00EA5AB8"/>
    <w:rsid w:val="00EA6669"/>
    <w:rsid w:val="00EC5A7D"/>
    <w:rsid w:val="00ED32A7"/>
    <w:rsid w:val="00ED6ADE"/>
    <w:rsid w:val="00EE059F"/>
    <w:rsid w:val="00EE126E"/>
    <w:rsid w:val="00EE1433"/>
    <w:rsid w:val="00EE36DE"/>
    <w:rsid w:val="00EE56A3"/>
    <w:rsid w:val="00EE5E54"/>
    <w:rsid w:val="00EE63A4"/>
    <w:rsid w:val="00EE6991"/>
    <w:rsid w:val="00EF0890"/>
    <w:rsid w:val="00F0093C"/>
    <w:rsid w:val="00F01431"/>
    <w:rsid w:val="00F03AEA"/>
    <w:rsid w:val="00F053DD"/>
    <w:rsid w:val="00F268B8"/>
    <w:rsid w:val="00F2768E"/>
    <w:rsid w:val="00F3138E"/>
    <w:rsid w:val="00F3335D"/>
    <w:rsid w:val="00F351DE"/>
    <w:rsid w:val="00F35D94"/>
    <w:rsid w:val="00F51C08"/>
    <w:rsid w:val="00F6558C"/>
    <w:rsid w:val="00F73D64"/>
    <w:rsid w:val="00F76B7E"/>
    <w:rsid w:val="00F82D3D"/>
    <w:rsid w:val="00F8497C"/>
    <w:rsid w:val="00F92B3D"/>
    <w:rsid w:val="00F94730"/>
    <w:rsid w:val="00F953E3"/>
    <w:rsid w:val="00F96877"/>
    <w:rsid w:val="00FA0830"/>
    <w:rsid w:val="00FA6886"/>
    <w:rsid w:val="00FB6C80"/>
    <w:rsid w:val="00FC02E3"/>
    <w:rsid w:val="00FC4A4C"/>
    <w:rsid w:val="00FE4573"/>
    <w:rsid w:val="00FE6B66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79AF3"/>
  <w15:chartTrackingRefBased/>
  <w15:docId w15:val="{3DDEDDF4-7916-44BB-98E1-ECB34BED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0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4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60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2F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04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04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D4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25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5CC5"/>
  </w:style>
  <w:style w:type="paragraph" w:styleId="Stopka">
    <w:name w:val="footer"/>
    <w:basedOn w:val="Normalny"/>
    <w:link w:val="StopkaZnak"/>
    <w:uiPriority w:val="99"/>
    <w:unhideWhenUsed/>
    <w:rsid w:val="00A25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5CC5"/>
  </w:style>
  <w:style w:type="paragraph" w:styleId="Poprawka">
    <w:name w:val="Revision"/>
    <w:hidden/>
    <w:uiPriority w:val="99"/>
    <w:semiHidden/>
    <w:rsid w:val="007B430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43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43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43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43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430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95C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5C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22482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36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36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36D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60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E4608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B0A7C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00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2F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5A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5A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5A8D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048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048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4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0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98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3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8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1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8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5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84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6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lwawpfsmsl0002\MSL_WAW_RUN\Corporate&amp;Healthcare\Healthcare\Align%20Technology\2026\Media\Media%20advisories\Align%20innowacje\www.aligntec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plwawpfsmsl0002\MSL_WAW_RUN\Corporate&amp;Healthcare\Healthcare\Align%20Technology\2026\Media\Media%20advisories\Align%20innowacje\www.exocad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\\plwawpfsmsl0002\MSL_WAW_RUN\Corporate&amp;Healthcare\Healthcare\Align%20Technology\2026\Media\Media%20advisories\Align%20innowacje\www.itero.co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plwawpfsmsl0002\MSL_WAW_RUN\Corporate&amp;Healthcare\Healthcare\Align%20Technology\2026\Media\Media%20advisories\Align%20innowacje\www.invisalig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84CCE-CF0A-4FCC-817B-FA058230D3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c44c96-980a-481b-ae23-d8f56b82c605}" enabled="0" method="" siteId="{9ac44c96-980a-481b-ae23-d8f56b82c6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1099</Words>
  <Characters>7040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 Kowalewska</dc:creator>
  <cp:keywords/>
  <dc:description/>
  <cp:lastModifiedBy>Natalia Furgala</cp:lastModifiedBy>
  <cp:revision>20</cp:revision>
  <dcterms:created xsi:type="dcterms:W3CDTF">2026-08-03T16:21:00Z</dcterms:created>
  <dcterms:modified xsi:type="dcterms:W3CDTF">2026-10-22T11:03:00Z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148278949b36818359e8ddfcbaaeb1f9fafb0646f613c21cafcb4d7e8258565d</vt:lpwstr>
  </property>
  <property fmtid="{D5CDD505-2E9C-101B-9397-08002B2CF9AE}" pid="3" name="MSIP_Label_4844e20a-15e7-4911-b9d2-faab53fbf78b_Enabled">
    <vt:lpwstr>true</vt:lpwstr>
  </property>
  <property fmtid="{D5CDD505-2E9C-101B-9397-08002B2CF9AE}" pid="4" name="MSIP_Label_4844e20a-15e7-4911-b9d2-faab53fbf78b_SetDate">
    <vt:lpwstr>2026-10-21T11:56:12Z</vt:lpwstr>
  </property>
  <property fmtid="{D5CDD505-2E9C-101B-9397-08002B2CF9AE}" pid="5" name="MSIP_Label_4844e20a-15e7-4911-b9d2-faab53fbf78b_Method">
    <vt:lpwstr>Standard</vt:lpwstr>
  </property>
  <property fmtid="{D5CDD505-2E9C-101B-9397-08002B2CF9AE}" pid="6" name="MSIP_Label_4844e20a-15e7-4911-b9d2-faab53fbf78b_Name">
    <vt:lpwstr>Internal (Employees and Authorized Partners)</vt:lpwstr>
  </property>
  <property fmtid="{D5CDD505-2E9C-101B-9397-08002B2CF9AE}" pid="7" name="MSIP_Label_4844e20a-15e7-4911-b9d2-faab53fbf78b_SiteId">
    <vt:lpwstr>d52c9ea1-7c21-47b1-82a3-33a74b1f74b8</vt:lpwstr>
  </property>
  <property fmtid="{D5CDD505-2E9C-101B-9397-08002B2CF9AE}" pid="8" name="MSIP_Label_4844e20a-15e7-4911-b9d2-faab53fbf78b_ActionId">
    <vt:lpwstr>3122175c-9e0d-407a-84dc-463d9773093f</vt:lpwstr>
  </property>
  <property fmtid="{D5CDD505-2E9C-101B-9397-08002B2CF9AE}" pid="9" name="MSIP_Label_4844e20a-15e7-4911-b9d2-faab53fbf78b_ContentBits">
    <vt:lpwstr>0</vt:lpwstr>
  </property>
  <property fmtid="{D5CDD505-2E9C-101B-9397-08002B2CF9AE}" pid="10" name="MSIP_Label_4844e20a-15e7-4911-b9d2-faab53fbf78b_Tag">
    <vt:lpwstr>10, 3, 0, 1</vt:lpwstr>
  </property>
</Properties>
</file>