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D6783" w14:textId="731608E6" w:rsidR="007A54E1" w:rsidRPr="006E32CE" w:rsidRDefault="006E32CE" w:rsidP="006E32CE">
      <w:pPr>
        <w:spacing w:after="0"/>
        <w:jc w:val="right"/>
        <w:rPr>
          <w:sz w:val="18"/>
          <w:szCs w:val="18"/>
        </w:rPr>
      </w:pPr>
      <w:r>
        <w:rPr>
          <w:sz w:val="18"/>
          <w:szCs w:val="18"/>
        </w:rPr>
        <w:t>m</w:t>
      </w:r>
      <w:r w:rsidRPr="006E32CE">
        <w:rPr>
          <w:sz w:val="18"/>
          <w:szCs w:val="18"/>
        </w:rPr>
        <w:t>ateriał prasowy</w:t>
      </w:r>
      <w:r w:rsidR="00C71544">
        <w:rPr>
          <w:sz w:val="18"/>
          <w:szCs w:val="18"/>
        </w:rPr>
        <w:t>, 2</w:t>
      </w:r>
      <w:r w:rsidR="00C909C3">
        <w:rPr>
          <w:sz w:val="18"/>
          <w:szCs w:val="18"/>
        </w:rPr>
        <w:t>6</w:t>
      </w:r>
      <w:r w:rsidR="00C71544">
        <w:rPr>
          <w:sz w:val="18"/>
          <w:szCs w:val="18"/>
        </w:rPr>
        <w:t>.10</w:t>
      </w:r>
      <w:r w:rsidR="00D44205">
        <w:rPr>
          <w:sz w:val="18"/>
          <w:szCs w:val="18"/>
        </w:rPr>
        <w:t xml:space="preserve"> </w:t>
      </w:r>
      <w:r w:rsidRPr="006E32CE">
        <w:rPr>
          <w:sz w:val="18"/>
          <w:szCs w:val="18"/>
        </w:rPr>
        <w:t>2026</w:t>
      </w:r>
    </w:p>
    <w:p w14:paraId="77E00E39" w14:textId="77777777" w:rsidR="006E32CE" w:rsidRDefault="006E32CE" w:rsidP="00C71544">
      <w:pPr>
        <w:spacing w:after="0"/>
        <w:rPr>
          <w:rFonts w:asciiTheme="majorHAnsi" w:eastAsiaTheme="minorHAnsi" w:hAnsiTheme="majorHAnsi" w:cstheme="majorHAnsi"/>
          <w:color w:val="2F5496" w:themeColor="accent1" w:themeShade="BF"/>
          <w:sz w:val="32"/>
          <w:szCs w:val="32"/>
          <w:lang w:val="pl-PL" w:eastAsia="en-US"/>
        </w:rPr>
      </w:pPr>
    </w:p>
    <w:p w14:paraId="27817780" w14:textId="4D0F5D87" w:rsidR="009B7897" w:rsidRDefault="004620FB" w:rsidP="00C71544">
      <w:pPr>
        <w:spacing w:after="120"/>
        <w:contextualSpacing/>
        <w:rPr>
          <w:rFonts w:asciiTheme="majorHAnsi" w:eastAsiaTheme="minorHAnsi" w:hAnsiTheme="majorHAnsi" w:cstheme="majorHAnsi"/>
          <w:color w:val="2F5496" w:themeColor="accent1" w:themeShade="BF"/>
          <w:sz w:val="32"/>
          <w:szCs w:val="32"/>
          <w:lang w:val="pl-PL" w:eastAsia="en-US"/>
        </w:rPr>
      </w:pPr>
      <w:r w:rsidRPr="004620FB">
        <w:rPr>
          <w:rFonts w:asciiTheme="majorHAnsi" w:eastAsiaTheme="minorHAnsi" w:hAnsiTheme="majorHAnsi" w:cstheme="majorHAnsi"/>
          <w:color w:val="2F5496" w:themeColor="accent1" w:themeShade="BF"/>
          <w:sz w:val="32"/>
          <w:szCs w:val="32"/>
          <w:lang w:val="pl-PL" w:eastAsia="en-US"/>
        </w:rPr>
        <w:t xml:space="preserve">Europejski </w:t>
      </w:r>
      <w:r w:rsidR="003748F9">
        <w:rPr>
          <w:rFonts w:asciiTheme="majorHAnsi" w:eastAsiaTheme="minorHAnsi" w:hAnsiTheme="majorHAnsi" w:cstheme="majorHAnsi"/>
          <w:color w:val="2F5496" w:themeColor="accent1" w:themeShade="BF"/>
          <w:sz w:val="32"/>
          <w:szCs w:val="32"/>
          <w:lang w:val="pl-PL" w:eastAsia="en-US"/>
        </w:rPr>
        <w:t>sukces, krajowe wyzwania</w:t>
      </w:r>
      <w:r w:rsidRPr="004620FB">
        <w:rPr>
          <w:rFonts w:asciiTheme="majorHAnsi" w:eastAsiaTheme="minorHAnsi" w:hAnsiTheme="majorHAnsi" w:cstheme="majorHAnsi"/>
          <w:color w:val="2F5496" w:themeColor="accent1" w:themeShade="BF"/>
          <w:sz w:val="32"/>
          <w:szCs w:val="32"/>
          <w:lang w:val="pl-PL" w:eastAsia="en-US"/>
        </w:rPr>
        <w:t>. Rekordowa wydajność i heroiczna walka o utrzymanie płynności polskiej branży TSL</w:t>
      </w:r>
      <w:r>
        <w:rPr>
          <w:rFonts w:asciiTheme="majorHAnsi" w:eastAsiaTheme="minorHAnsi" w:hAnsiTheme="majorHAnsi" w:cstheme="majorHAnsi"/>
          <w:color w:val="2F5496" w:themeColor="accent1" w:themeShade="BF"/>
          <w:sz w:val="32"/>
          <w:szCs w:val="32"/>
          <w:lang w:val="pl-PL" w:eastAsia="en-US"/>
        </w:rPr>
        <w:t>.</w:t>
      </w:r>
    </w:p>
    <w:p w14:paraId="29A7C1F3" w14:textId="77777777" w:rsidR="004620FB" w:rsidRPr="004620FB" w:rsidRDefault="004620FB" w:rsidP="00C71544">
      <w:pPr>
        <w:spacing w:after="120"/>
        <w:contextualSpacing/>
        <w:rPr>
          <w:rFonts w:asciiTheme="majorHAnsi" w:eastAsiaTheme="minorHAnsi" w:hAnsiTheme="majorHAnsi" w:cstheme="majorHAnsi"/>
          <w:color w:val="2F5496" w:themeColor="accent1" w:themeShade="BF"/>
          <w:sz w:val="32"/>
          <w:szCs w:val="32"/>
          <w:lang w:eastAsia="en-US"/>
        </w:rPr>
      </w:pPr>
    </w:p>
    <w:p w14:paraId="1ECA014B" w14:textId="7C0ABA97" w:rsidR="00E3555C" w:rsidRDefault="0075108D" w:rsidP="00C71544">
      <w:pPr>
        <w:spacing w:after="0"/>
        <w:rPr>
          <w:rFonts w:asciiTheme="majorHAnsi" w:eastAsiaTheme="minorHAnsi" w:hAnsiTheme="majorHAnsi" w:cstheme="majorHAnsi"/>
          <w:color w:val="2F5496" w:themeColor="accent1" w:themeShade="BF"/>
          <w:lang w:val="pl-PL" w:eastAsia="en-US"/>
        </w:rPr>
      </w:pPr>
      <w:r w:rsidRPr="0075108D">
        <w:rPr>
          <w:rFonts w:asciiTheme="majorHAnsi" w:eastAsiaTheme="minorHAnsi" w:hAnsiTheme="majorHAnsi" w:cstheme="majorHAnsi"/>
          <w:color w:val="2F5496" w:themeColor="accent1" w:themeShade="BF"/>
          <w:lang w:val="pl-PL" w:eastAsia="en-US"/>
        </w:rPr>
        <w:t>W 2024 r. polskie firmy transportowe wykonały ponad 236 mld tonokilometrów na trasach zagranicznych. To niemal 1/3 międzynarodowej pracy przewozowej w Unii Europejskiej</w:t>
      </w:r>
      <w:r w:rsidR="00E1477B">
        <w:rPr>
          <w:rStyle w:val="Odwoanieprzypisudolnego"/>
          <w:rFonts w:asciiTheme="majorHAnsi" w:eastAsiaTheme="minorHAnsi" w:hAnsiTheme="majorHAnsi" w:cstheme="majorHAnsi"/>
          <w:color w:val="2F5496" w:themeColor="accent1" w:themeShade="BF"/>
          <w:lang w:val="pl-PL" w:eastAsia="en-US"/>
        </w:rPr>
        <w:footnoteReference w:id="1"/>
      </w:r>
      <w:r w:rsidRPr="0075108D">
        <w:rPr>
          <w:rFonts w:asciiTheme="majorHAnsi" w:eastAsiaTheme="minorHAnsi" w:hAnsiTheme="majorHAnsi" w:cstheme="majorHAnsi"/>
          <w:color w:val="2F5496" w:themeColor="accent1" w:themeShade="BF"/>
          <w:lang w:val="pl-PL" w:eastAsia="en-US"/>
        </w:rPr>
        <w:t>. Biorąc pod uwagę fakt, że należy do nich niespełna 1/5 pojazdów</w:t>
      </w:r>
      <w:r w:rsidR="00DD6157">
        <w:rPr>
          <w:rStyle w:val="Odwoanieprzypisudolnego"/>
          <w:rFonts w:asciiTheme="majorHAnsi" w:eastAsiaTheme="minorHAnsi" w:hAnsiTheme="majorHAnsi" w:cstheme="majorHAnsi"/>
          <w:color w:val="2F5496" w:themeColor="accent1" w:themeShade="BF"/>
          <w:lang w:val="pl-PL" w:eastAsia="en-US"/>
        </w:rPr>
        <w:footnoteReference w:id="2"/>
      </w:r>
      <w:r w:rsidRPr="0075108D">
        <w:rPr>
          <w:rFonts w:asciiTheme="majorHAnsi" w:eastAsiaTheme="minorHAnsi" w:hAnsiTheme="majorHAnsi" w:cstheme="majorHAnsi"/>
          <w:color w:val="2F5496" w:themeColor="accent1" w:themeShade="BF"/>
          <w:lang w:val="pl-PL" w:eastAsia="en-US"/>
        </w:rPr>
        <w:t>, dane te wskazują na wysoką efektywność pracy rodzimych przedsiębiorstw i konsekwentne budowanie pozycji lidera na kontynencie. Paradoksalnie status ten nie idzie w parze z finansowym sukcesem. Transport znajduje się bowiem w pierwszej trójce najbardziej zadłużonych branż w Polsce</w:t>
      </w:r>
      <w:r w:rsidR="003F4C3C">
        <w:rPr>
          <w:rStyle w:val="Odwoanieprzypisudolnego"/>
          <w:rFonts w:asciiTheme="majorHAnsi" w:eastAsiaTheme="minorHAnsi" w:hAnsiTheme="majorHAnsi" w:cstheme="majorHAnsi"/>
          <w:color w:val="2F5496" w:themeColor="accent1" w:themeShade="BF"/>
          <w:lang w:val="pl-PL" w:eastAsia="en-US"/>
        </w:rPr>
        <w:footnoteReference w:id="3"/>
      </w:r>
      <w:r w:rsidRPr="0075108D">
        <w:rPr>
          <w:rFonts w:asciiTheme="majorHAnsi" w:eastAsiaTheme="minorHAnsi" w:hAnsiTheme="majorHAnsi" w:cstheme="majorHAnsi"/>
          <w:color w:val="2F5496" w:themeColor="accent1" w:themeShade="BF"/>
          <w:lang w:val="pl-PL" w:eastAsia="en-US"/>
        </w:rPr>
        <w:t>. W latach 2024-2026 był również sektorem z największą liczbą firm, które ogłosiły upadłość</w:t>
      </w:r>
      <w:r w:rsidR="003F4C3C">
        <w:rPr>
          <w:rStyle w:val="Odwoanieprzypisudolnego"/>
          <w:rFonts w:asciiTheme="majorHAnsi" w:eastAsiaTheme="minorHAnsi" w:hAnsiTheme="majorHAnsi" w:cstheme="majorHAnsi"/>
          <w:color w:val="2F5496" w:themeColor="accent1" w:themeShade="BF"/>
          <w:lang w:val="pl-PL" w:eastAsia="en-US"/>
        </w:rPr>
        <w:footnoteReference w:id="4"/>
      </w:r>
      <w:r w:rsidRPr="0075108D">
        <w:rPr>
          <w:rFonts w:asciiTheme="majorHAnsi" w:eastAsiaTheme="minorHAnsi" w:hAnsiTheme="majorHAnsi" w:cstheme="majorHAnsi"/>
          <w:color w:val="2F5496" w:themeColor="accent1" w:themeShade="BF"/>
          <w:lang w:val="pl-PL" w:eastAsia="en-US"/>
        </w:rPr>
        <w:t>. Trudna sytuacja nie wynika wyłącznie z rosnących kosztów prowadzenia działalności. Problemem jest również egzekwowanie należności za wykonane usługi. Proces ten stanowi szczególne wyzwanie w przypadku kontrahentów zagranicznych, dla których polscy przewoźnicy realizują 2/3 swoich usług</w:t>
      </w:r>
      <w:r w:rsidR="003F4C3C">
        <w:rPr>
          <w:rStyle w:val="Odwoanieprzypisudolnego"/>
          <w:rFonts w:asciiTheme="majorHAnsi" w:eastAsiaTheme="minorHAnsi" w:hAnsiTheme="majorHAnsi" w:cstheme="majorHAnsi"/>
          <w:color w:val="2F5496" w:themeColor="accent1" w:themeShade="BF"/>
          <w:lang w:val="pl-PL" w:eastAsia="en-US"/>
        </w:rPr>
        <w:footnoteReference w:id="5"/>
      </w:r>
      <w:r w:rsidR="00C71544">
        <w:rPr>
          <w:rFonts w:asciiTheme="majorHAnsi" w:eastAsiaTheme="minorHAnsi" w:hAnsiTheme="majorHAnsi" w:cstheme="majorHAnsi"/>
          <w:color w:val="2F5496" w:themeColor="accent1" w:themeShade="BF"/>
          <w:lang w:val="pl-PL" w:eastAsia="en-US"/>
        </w:rPr>
        <w:t xml:space="preserve">. </w:t>
      </w:r>
      <w:r w:rsidRPr="0075108D">
        <w:rPr>
          <w:rFonts w:asciiTheme="majorHAnsi" w:eastAsiaTheme="minorHAnsi" w:hAnsiTheme="majorHAnsi" w:cstheme="majorHAnsi"/>
          <w:color w:val="2F5496" w:themeColor="accent1" w:themeShade="BF"/>
          <w:lang w:val="pl-PL" w:eastAsia="en-US"/>
        </w:rPr>
        <w:t>Jak w takich warunkach skutecznie zarządzać przepływami pieniężnymi, ograniczać ryzyko zatorów płatniczych i wybierać odpowiednie formy finansowania floty, by utrzymać stabilność finansową?</w:t>
      </w:r>
    </w:p>
    <w:p w14:paraId="51CBB0FC" w14:textId="77777777" w:rsidR="0075108D" w:rsidRPr="007A54E1" w:rsidRDefault="0075108D" w:rsidP="00C71544">
      <w:pPr>
        <w:spacing w:after="0"/>
        <w:rPr>
          <w:rFonts w:asciiTheme="majorHAnsi" w:eastAsiaTheme="minorHAnsi" w:hAnsiTheme="majorHAnsi" w:cstheme="majorHAnsi"/>
          <w:color w:val="2F5496" w:themeColor="accent1" w:themeShade="BF"/>
          <w:lang w:val="pl-PL" w:eastAsia="en-US"/>
        </w:rPr>
      </w:pPr>
    </w:p>
    <w:p w14:paraId="013F8B77" w14:textId="4A5F662F" w:rsidR="00CB60AD" w:rsidRPr="00CB60AD" w:rsidRDefault="00CB60AD" w:rsidP="00C71544">
      <w:pPr>
        <w:rPr>
          <w:rFonts w:asciiTheme="minorHAnsi" w:hAnsiTheme="minorHAnsi" w:cstheme="minorHAnsi"/>
          <w:lang w:val="pl-PL"/>
        </w:rPr>
      </w:pPr>
      <w:bookmarkStart w:id="0" w:name="_95kxvgrzixkv" w:colFirst="0" w:colLast="0"/>
      <w:bookmarkEnd w:id="0"/>
      <w:r w:rsidRPr="00CB60AD">
        <w:rPr>
          <w:rFonts w:asciiTheme="minorHAnsi" w:hAnsiTheme="minorHAnsi" w:cstheme="minorHAnsi"/>
          <w:lang w:val="pl-PL"/>
        </w:rPr>
        <w:t>Kondycja ekonomiczna branży TSL ma ogromne znaczenie dla rodzimej gospodarki. Firmy transportowe odpowiadają za niemal 7 proc. polskiego PKB. To drugi największy wkład do budżetu państwa w sektorze usługowym, zaraz za handlem i naprawami</w:t>
      </w:r>
      <w:r w:rsidR="002C5529">
        <w:rPr>
          <w:rStyle w:val="Odwoanieprzypisudolnego"/>
          <w:rFonts w:asciiTheme="minorHAnsi" w:hAnsiTheme="minorHAnsi" w:cstheme="minorHAnsi"/>
          <w:lang w:val="pl-PL"/>
        </w:rPr>
        <w:footnoteReference w:id="6"/>
      </w:r>
      <w:r w:rsidRPr="00CB60AD">
        <w:rPr>
          <w:rFonts w:asciiTheme="minorHAnsi" w:hAnsiTheme="minorHAnsi" w:cstheme="minorHAnsi"/>
          <w:lang w:val="pl-PL"/>
        </w:rPr>
        <w:t>. Co więcej, udział polskich przewoźników w zatrudnieniu wynosi 6,5 proc.</w:t>
      </w:r>
      <w:r w:rsidR="00B44710">
        <w:rPr>
          <w:rStyle w:val="Odwoanieprzypisudolnego"/>
          <w:rFonts w:asciiTheme="minorHAnsi" w:hAnsiTheme="minorHAnsi" w:cstheme="minorHAnsi"/>
          <w:lang w:val="pl-PL"/>
        </w:rPr>
        <w:footnoteReference w:id="7"/>
      </w:r>
      <w:r w:rsidRPr="00CB60AD">
        <w:rPr>
          <w:rFonts w:asciiTheme="minorHAnsi" w:hAnsiTheme="minorHAnsi" w:cstheme="minorHAnsi"/>
          <w:lang w:val="pl-PL"/>
        </w:rPr>
        <w:t>. Transport zapewnia zatem niemal milion miejsc pracy, a jego znaczenie wykracza daleko poza poziom krajowy.</w:t>
      </w:r>
    </w:p>
    <w:p w14:paraId="7DD61258" w14:textId="10C3731B" w:rsidR="00CB60AD" w:rsidRPr="00CB60AD" w:rsidRDefault="00CB60AD" w:rsidP="00C71544">
      <w:pPr>
        <w:rPr>
          <w:rFonts w:asciiTheme="minorHAnsi" w:hAnsiTheme="minorHAnsi" w:cstheme="minorHAnsi"/>
          <w:lang w:val="pl-PL"/>
        </w:rPr>
      </w:pPr>
      <w:r w:rsidRPr="00CB60AD">
        <w:rPr>
          <w:rFonts w:asciiTheme="minorHAnsi" w:hAnsiTheme="minorHAnsi" w:cstheme="minorHAnsi"/>
          <w:lang w:val="pl-PL"/>
        </w:rPr>
        <w:t>Od momentu wejścia do Unii Europejskiej rodzime firmy transportowe konsekwentnie budują swoją silną pozycję na całym kontynencie. Aktualnie to właśnie zagranica stała się głównym obszarem ich działalności. W 2024 roku ponad 64 proc. polskiego transportu drogowego stanowiły przewozy międzynarodowe, cross-trade lub kabotaż. Niespełna 36 proc. usług było realizowanych na terenie kraj</w:t>
      </w:r>
      <w:r w:rsidR="009D67E6">
        <w:rPr>
          <w:rFonts w:asciiTheme="minorHAnsi" w:hAnsiTheme="minorHAnsi" w:cstheme="minorHAnsi"/>
          <w:lang w:val="pl-PL"/>
        </w:rPr>
        <w:t>u</w:t>
      </w:r>
      <w:r w:rsidR="009D67E6">
        <w:rPr>
          <w:rStyle w:val="Odwoanieprzypisudolnego"/>
          <w:rFonts w:asciiTheme="minorHAnsi" w:hAnsiTheme="minorHAnsi" w:cstheme="minorHAnsi"/>
          <w:lang w:val="pl-PL"/>
        </w:rPr>
        <w:footnoteReference w:id="8"/>
      </w:r>
      <w:r w:rsidRPr="00CB60AD">
        <w:rPr>
          <w:rFonts w:asciiTheme="minorHAnsi" w:hAnsiTheme="minorHAnsi" w:cstheme="minorHAnsi"/>
          <w:lang w:val="pl-PL"/>
        </w:rPr>
        <w:t>. </w:t>
      </w:r>
    </w:p>
    <w:p w14:paraId="027A337A" w14:textId="583A7AB8" w:rsidR="00CB60AD" w:rsidRDefault="00CB60AD" w:rsidP="00C71544">
      <w:pPr>
        <w:rPr>
          <w:rFonts w:asciiTheme="minorHAnsi" w:hAnsiTheme="minorHAnsi" w:cstheme="minorHAnsi"/>
          <w:lang w:val="pl-PL"/>
        </w:rPr>
      </w:pPr>
      <w:r w:rsidRPr="00CB60AD">
        <w:rPr>
          <w:rFonts w:asciiTheme="minorHAnsi" w:hAnsiTheme="minorHAnsi" w:cstheme="minorHAnsi"/>
          <w:lang w:val="pl-PL"/>
        </w:rPr>
        <w:t xml:space="preserve">– </w:t>
      </w:r>
      <w:r w:rsidRPr="00CB60AD">
        <w:rPr>
          <w:rFonts w:asciiTheme="minorHAnsi" w:hAnsiTheme="minorHAnsi" w:cstheme="minorHAnsi"/>
          <w:i/>
          <w:iCs/>
          <w:lang w:val="pl-PL"/>
        </w:rPr>
        <w:t>Przez ostatnie dwie dekady Polska budowała pozycję lidera europejskiej branży transportowej. Jest nim nieprzerwanie od 2018 roku, kiedy wyprzedziła Niemcy w realizacji pracy przewozowej</w:t>
      </w:r>
      <w:r w:rsidR="00013B06">
        <w:rPr>
          <w:rStyle w:val="Odwoanieprzypisudolnego"/>
          <w:rFonts w:asciiTheme="minorHAnsi" w:hAnsiTheme="minorHAnsi" w:cstheme="minorHAnsi"/>
          <w:i/>
          <w:iCs/>
          <w:lang w:val="pl-PL"/>
        </w:rPr>
        <w:footnoteReference w:id="9"/>
      </w:r>
      <w:r w:rsidRPr="00CB60AD">
        <w:rPr>
          <w:rFonts w:asciiTheme="minorHAnsi" w:hAnsiTheme="minorHAnsi" w:cstheme="minorHAnsi"/>
          <w:i/>
          <w:iCs/>
          <w:lang w:val="pl-PL"/>
        </w:rPr>
        <w:t>. Aktualnie w 1 z 2największych przepływów międzypaństwowych w UE (pod względem tonażu) nasze rodzime firmy są głównym przewoźnikiem spoza krajów załadunku i rozładunk</w:t>
      </w:r>
      <w:r w:rsidR="00E14E02">
        <w:rPr>
          <w:rFonts w:asciiTheme="minorHAnsi" w:hAnsiTheme="minorHAnsi" w:cstheme="minorHAnsi"/>
          <w:i/>
          <w:iCs/>
          <w:lang w:val="pl-PL"/>
        </w:rPr>
        <w:t>u</w:t>
      </w:r>
      <w:r w:rsidR="00E14E02">
        <w:rPr>
          <w:rStyle w:val="Odwoanieprzypisudolnego"/>
          <w:rFonts w:asciiTheme="minorHAnsi" w:hAnsiTheme="minorHAnsi" w:cstheme="minorHAnsi"/>
          <w:i/>
          <w:iCs/>
          <w:lang w:val="pl-PL"/>
        </w:rPr>
        <w:footnoteReference w:id="10"/>
      </w:r>
      <w:r w:rsidRPr="00CB60AD">
        <w:rPr>
          <w:rFonts w:asciiTheme="minorHAnsi" w:hAnsiTheme="minorHAnsi" w:cstheme="minorHAnsi"/>
          <w:i/>
          <w:iCs/>
          <w:lang w:val="pl-PL"/>
        </w:rPr>
        <w:t>. To niewątpliwy powód do dumy. Należy jednak pamiętać, że w przypadku wielu firm kryje się za nim ciężka walka o przetrwanie. Sytuacja finansowa przewoźników od lat jest niestabilna</w:t>
      </w:r>
      <w:r w:rsidRPr="00CB60AD">
        <w:rPr>
          <w:rFonts w:asciiTheme="minorHAnsi" w:hAnsiTheme="minorHAnsi" w:cstheme="minorHAnsi"/>
          <w:lang w:val="pl-PL"/>
        </w:rPr>
        <w:t xml:space="preserve"> – mówi </w:t>
      </w:r>
      <w:r w:rsidRPr="00CB60AD">
        <w:rPr>
          <w:rFonts w:asciiTheme="minorHAnsi" w:hAnsiTheme="minorHAnsi" w:cstheme="minorHAnsi"/>
          <w:b/>
          <w:bCs/>
          <w:lang w:val="pl-PL"/>
        </w:rPr>
        <w:t xml:space="preserve">Tomasz Czyż, Chief </w:t>
      </w:r>
      <w:proofErr w:type="spellStart"/>
      <w:r w:rsidRPr="00CB60AD">
        <w:rPr>
          <w:rFonts w:asciiTheme="minorHAnsi" w:hAnsiTheme="minorHAnsi" w:cstheme="minorHAnsi"/>
          <w:b/>
          <w:bCs/>
          <w:lang w:val="pl-PL"/>
        </w:rPr>
        <w:t>Expert</w:t>
      </w:r>
      <w:proofErr w:type="spellEnd"/>
      <w:r w:rsidRPr="00CB60AD">
        <w:rPr>
          <w:rFonts w:asciiTheme="minorHAnsi" w:hAnsiTheme="minorHAnsi" w:cstheme="minorHAnsi"/>
          <w:b/>
          <w:bCs/>
          <w:lang w:val="pl-PL"/>
        </w:rPr>
        <w:t xml:space="preserve"> for </w:t>
      </w:r>
      <w:proofErr w:type="spellStart"/>
      <w:r w:rsidRPr="00CB60AD">
        <w:rPr>
          <w:rFonts w:asciiTheme="minorHAnsi" w:hAnsiTheme="minorHAnsi" w:cstheme="minorHAnsi"/>
          <w:b/>
          <w:bCs/>
          <w:lang w:val="pl-PL"/>
        </w:rPr>
        <w:t>Technological</w:t>
      </w:r>
      <w:proofErr w:type="spellEnd"/>
      <w:r w:rsidRPr="00CB60AD">
        <w:rPr>
          <w:rFonts w:asciiTheme="minorHAnsi" w:hAnsiTheme="minorHAnsi" w:cstheme="minorHAnsi"/>
          <w:b/>
          <w:bCs/>
          <w:lang w:val="pl-PL"/>
        </w:rPr>
        <w:t xml:space="preserve"> Solutions, Eurowag</w:t>
      </w:r>
      <w:r w:rsidRPr="00CB60AD">
        <w:rPr>
          <w:rFonts w:asciiTheme="minorHAnsi" w:hAnsiTheme="minorHAnsi" w:cstheme="minorHAnsi"/>
          <w:lang w:val="pl-PL"/>
        </w:rPr>
        <w:t xml:space="preserve">. – </w:t>
      </w:r>
      <w:r w:rsidRPr="00CB60AD">
        <w:rPr>
          <w:rFonts w:asciiTheme="minorHAnsi" w:hAnsiTheme="minorHAnsi" w:cstheme="minorHAnsi"/>
          <w:i/>
          <w:iCs/>
          <w:lang w:val="pl-PL"/>
        </w:rPr>
        <w:t xml:space="preserve">Mając na uwadze, jak kluczowym aspektem dla sektora jest pozyskiwanie finansowania na bieżącą działalność i ściąganie zaległych </w:t>
      </w:r>
      <w:r w:rsidRPr="00CB60AD">
        <w:rPr>
          <w:rFonts w:asciiTheme="minorHAnsi" w:hAnsiTheme="minorHAnsi" w:cstheme="minorHAnsi"/>
          <w:i/>
          <w:iCs/>
          <w:lang w:val="pl-PL"/>
        </w:rPr>
        <w:lastRenderedPageBreak/>
        <w:t xml:space="preserve">należności, postanowiliśmy poświęcić temu tematowi najbliższy z odcinków naszego cyklicznego </w:t>
      </w:r>
      <w:proofErr w:type="spellStart"/>
      <w:r w:rsidRPr="00CB60AD">
        <w:rPr>
          <w:rFonts w:asciiTheme="minorHAnsi" w:hAnsiTheme="minorHAnsi" w:cstheme="minorHAnsi"/>
          <w:i/>
          <w:iCs/>
          <w:lang w:val="pl-PL"/>
        </w:rPr>
        <w:t>webinaru</w:t>
      </w:r>
      <w:proofErr w:type="spellEnd"/>
      <w:r w:rsidRPr="00CB60AD">
        <w:rPr>
          <w:rFonts w:asciiTheme="minorHAnsi" w:hAnsiTheme="minorHAnsi" w:cstheme="minorHAnsi"/>
          <w:i/>
          <w:iCs/>
          <w:lang w:val="pl-PL"/>
        </w:rPr>
        <w:t xml:space="preserve"> „Czas na transport”</w:t>
      </w:r>
      <w:r w:rsidRPr="00CB60AD">
        <w:rPr>
          <w:rFonts w:asciiTheme="minorHAnsi" w:hAnsiTheme="minorHAnsi" w:cstheme="minorHAnsi"/>
          <w:lang w:val="pl-PL"/>
        </w:rPr>
        <w:t xml:space="preserve"> – dodaje </w:t>
      </w:r>
      <w:r w:rsidRPr="00CB60AD">
        <w:rPr>
          <w:rFonts w:asciiTheme="minorHAnsi" w:hAnsiTheme="minorHAnsi" w:cstheme="minorHAnsi"/>
          <w:b/>
          <w:bCs/>
          <w:lang w:val="pl-PL"/>
        </w:rPr>
        <w:t>Czyż.</w:t>
      </w:r>
      <w:r w:rsidRPr="00CB60AD">
        <w:rPr>
          <w:rFonts w:asciiTheme="minorHAnsi" w:hAnsiTheme="minorHAnsi" w:cstheme="minorHAnsi"/>
          <w:lang w:val="pl-PL"/>
        </w:rPr>
        <w:t> </w:t>
      </w:r>
    </w:p>
    <w:p w14:paraId="1F0257F6" w14:textId="7C9C18A5" w:rsidR="007A54E1" w:rsidRDefault="0085451E" w:rsidP="00C71544">
      <w:pPr>
        <w:spacing w:after="0"/>
        <w:rPr>
          <w:rFonts w:asciiTheme="minorHAnsi" w:hAnsiTheme="minorHAnsi" w:cstheme="minorHAnsi"/>
          <w:b/>
          <w:bCs/>
        </w:rPr>
      </w:pPr>
      <w:r w:rsidRPr="0085451E">
        <w:rPr>
          <w:rFonts w:asciiTheme="minorHAnsi" w:hAnsiTheme="minorHAnsi" w:cstheme="minorHAnsi"/>
          <w:b/>
          <w:bCs/>
        </w:rPr>
        <w:t>Dlaczego transport drogowy jest pod kreską?</w:t>
      </w:r>
    </w:p>
    <w:p w14:paraId="0C42776F" w14:textId="77777777" w:rsidR="0085451E" w:rsidRPr="007A54E1" w:rsidRDefault="0085451E" w:rsidP="00C71544">
      <w:pPr>
        <w:spacing w:after="0"/>
      </w:pPr>
    </w:p>
    <w:p w14:paraId="5F90DE36" w14:textId="7A0BE3F8" w:rsidR="0085451E" w:rsidRPr="0085451E" w:rsidRDefault="0085451E" w:rsidP="00C71544">
      <w:pPr>
        <w:spacing w:after="0" w:line="276" w:lineRule="auto"/>
        <w:contextualSpacing/>
        <w:rPr>
          <w:rFonts w:asciiTheme="minorHAnsi" w:hAnsiTheme="minorHAnsi" w:cstheme="minorHAnsi"/>
          <w:lang w:val="pl-PL"/>
        </w:rPr>
      </w:pPr>
      <w:r w:rsidRPr="0085451E">
        <w:rPr>
          <w:rFonts w:asciiTheme="minorHAnsi" w:hAnsiTheme="minorHAnsi" w:cstheme="minorHAnsi"/>
          <w:lang w:val="pl-PL"/>
        </w:rPr>
        <w:t>Raporty potwierdzają słowa eksperta Eurowag – międzynarodowy sukces polskiej branży transportowej nie jest tak jednoznaczny, jak wskazują na to rankingi. W ubiegłym roku zaległości finansowe przewoźników wyniosły 1,63 mld zł. To wzrost o 25 mld względem roku 2024</w:t>
      </w:r>
      <w:r w:rsidR="009C2169">
        <w:rPr>
          <w:rStyle w:val="Odwoanieprzypisudolnego"/>
          <w:rFonts w:asciiTheme="minorHAnsi" w:hAnsiTheme="minorHAnsi" w:cstheme="minorHAnsi"/>
          <w:lang w:val="pl-PL"/>
        </w:rPr>
        <w:footnoteReference w:id="11"/>
      </w:r>
      <w:r w:rsidRPr="0085451E">
        <w:rPr>
          <w:rFonts w:asciiTheme="minorHAnsi" w:hAnsiTheme="minorHAnsi" w:cstheme="minorHAnsi"/>
          <w:lang w:val="pl-PL"/>
        </w:rPr>
        <w:t>. Ceny paliw, opłaty drogowe i rosnące koszty zatrudnienia nie są jedynymi źródłami problemów finansowych. Ich przyczyna tkwi również w kwestiach biznesowych. Na przestrzeni lat 2024-2025 marża netto polskich firm transportowych spadła z 6,8 do 4,2 proc.</w:t>
      </w:r>
      <w:r w:rsidR="00924EA0">
        <w:rPr>
          <w:rStyle w:val="Odwoanieprzypisudolnego"/>
          <w:rFonts w:asciiTheme="minorHAnsi" w:hAnsiTheme="minorHAnsi" w:cstheme="minorHAnsi"/>
          <w:lang w:val="pl-PL"/>
        </w:rPr>
        <w:footnoteReference w:id="12"/>
      </w:r>
      <w:r w:rsidRPr="0085451E">
        <w:rPr>
          <w:rFonts w:asciiTheme="minorHAnsi" w:hAnsiTheme="minorHAnsi" w:cstheme="minorHAnsi"/>
          <w:lang w:val="pl-PL"/>
        </w:rPr>
        <w:t>. Jednocześnie większość przedsiębiorstw nie ma możliwości negocjacji kontraktów. W niemal 2/3 przypadków (63 proc.) takie sytuacje zdarzają się często lub bardzo często</w:t>
      </w:r>
      <w:r w:rsidR="00E83BC3">
        <w:rPr>
          <w:rStyle w:val="Odwoanieprzypisudolnego"/>
          <w:rFonts w:asciiTheme="minorHAnsi" w:hAnsiTheme="minorHAnsi" w:cstheme="minorHAnsi"/>
          <w:lang w:val="pl-PL"/>
        </w:rPr>
        <w:footnoteReference w:id="13"/>
      </w:r>
      <w:r w:rsidR="00C669CE">
        <w:rPr>
          <w:rFonts w:asciiTheme="minorHAnsi" w:hAnsiTheme="minorHAnsi" w:cstheme="minorHAnsi"/>
          <w:lang w:val="pl-PL"/>
        </w:rPr>
        <w:t>.</w:t>
      </w:r>
      <w:r w:rsidRPr="0085451E">
        <w:rPr>
          <w:rFonts w:asciiTheme="minorHAnsi" w:hAnsiTheme="minorHAnsi" w:cstheme="minorHAnsi"/>
          <w:lang w:val="pl-PL"/>
        </w:rPr>
        <w:t xml:space="preserve"> Jak to wygląda w praktyce? </w:t>
      </w:r>
    </w:p>
    <w:p w14:paraId="53A9A338" w14:textId="059F1BD9" w:rsidR="0085451E" w:rsidRPr="0085451E" w:rsidRDefault="0085451E" w:rsidP="00C71544">
      <w:pPr>
        <w:spacing w:after="0" w:line="276" w:lineRule="auto"/>
        <w:contextualSpacing/>
        <w:rPr>
          <w:rFonts w:asciiTheme="minorHAnsi" w:hAnsiTheme="minorHAnsi" w:cstheme="minorHAnsi"/>
          <w:lang w:val="pl-PL"/>
        </w:rPr>
      </w:pPr>
      <w:r w:rsidRPr="0085451E">
        <w:rPr>
          <w:rFonts w:asciiTheme="minorHAnsi" w:hAnsiTheme="minorHAnsi" w:cstheme="minorHAnsi"/>
          <w:lang w:val="pl-PL"/>
        </w:rPr>
        <w:t xml:space="preserve">– </w:t>
      </w:r>
      <w:r w:rsidRPr="0085451E">
        <w:rPr>
          <w:rFonts w:asciiTheme="minorHAnsi" w:hAnsiTheme="minorHAnsi" w:cstheme="minorHAnsi"/>
          <w:i/>
          <w:iCs/>
          <w:lang w:val="pl-PL"/>
        </w:rPr>
        <w:t>Ponad 85 proc. przewoźników deklaruje, że ich umowy zawsze lub bardzo często zakładają terminy płatności od 30 do 60 dni po wykonaniu usługi</w:t>
      </w:r>
      <w:r w:rsidR="00C669CE">
        <w:rPr>
          <w:rStyle w:val="Odwoanieprzypisudolnego"/>
          <w:rFonts w:asciiTheme="minorHAnsi" w:hAnsiTheme="minorHAnsi" w:cstheme="minorHAnsi"/>
          <w:i/>
          <w:iCs/>
          <w:lang w:val="pl-PL"/>
        </w:rPr>
        <w:footnoteReference w:id="14"/>
      </w:r>
      <w:r w:rsidRPr="0085451E">
        <w:rPr>
          <w:rFonts w:asciiTheme="minorHAnsi" w:hAnsiTheme="minorHAnsi" w:cstheme="minorHAnsi"/>
          <w:i/>
          <w:iCs/>
          <w:lang w:val="pl-PL"/>
        </w:rPr>
        <w:t xml:space="preserve">. W 4 przypadkach na 5 sytuacja ta ma znaczący wpływ na </w:t>
      </w:r>
      <w:r w:rsidR="003931E4" w:rsidRPr="0085451E">
        <w:rPr>
          <w:rFonts w:asciiTheme="minorHAnsi" w:hAnsiTheme="minorHAnsi" w:cstheme="minorHAnsi"/>
          <w:i/>
          <w:iCs/>
          <w:lang w:val="pl-PL"/>
        </w:rPr>
        <w:t>działalność</w:t>
      </w:r>
      <w:r w:rsidR="0029351D">
        <w:rPr>
          <w:rStyle w:val="Odwoanieprzypisudolnego"/>
          <w:rFonts w:asciiTheme="minorHAnsi" w:hAnsiTheme="minorHAnsi" w:cstheme="minorHAnsi"/>
          <w:i/>
          <w:iCs/>
          <w:lang w:val="pl-PL"/>
        </w:rPr>
        <w:footnoteReference w:id="15"/>
      </w:r>
      <w:r w:rsidRPr="0085451E">
        <w:rPr>
          <w:rFonts w:asciiTheme="minorHAnsi" w:hAnsiTheme="minorHAnsi" w:cstheme="minorHAnsi"/>
          <w:i/>
          <w:iCs/>
          <w:lang w:val="pl-PL"/>
        </w:rPr>
        <w:t>. Zdarza się, że czas na uregulowanie faktury jest jeszcze dłuższy. Aż 42 proc. firm realizowało kontrakty zakładające płatność po ponad 120 dniach od wykonania usług</w:t>
      </w:r>
      <w:r w:rsidR="003931E4">
        <w:rPr>
          <w:rFonts w:asciiTheme="minorHAnsi" w:hAnsiTheme="minorHAnsi" w:cstheme="minorHAnsi"/>
          <w:i/>
          <w:iCs/>
          <w:lang w:val="pl-PL"/>
        </w:rPr>
        <w:t>i</w:t>
      </w:r>
      <w:r w:rsidR="003931E4">
        <w:rPr>
          <w:rStyle w:val="Odwoanieprzypisudolnego"/>
          <w:rFonts w:asciiTheme="minorHAnsi" w:hAnsiTheme="minorHAnsi" w:cstheme="minorHAnsi"/>
          <w:i/>
          <w:iCs/>
          <w:lang w:val="pl-PL"/>
        </w:rPr>
        <w:footnoteReference w:id="16"/>
      </w:r>
      <w:r w:rsidRPr="0085451E">
        <w:rPr>
          <w:rFonts w:asciiTheme="minorHAnsi" w:hAnsiTheme="minorHAnsi" w:cstheme="minorHAnsi"/>
          <w:i/>
          <w:iCs/>
          <w:lang w:val="pl-PL"/>
        </w:rPr>
        <w:t>. Przewoźnicy zgadzają się na niekorzystne zapisy w umowach, ponieważ walczą ciągłość zleceń dla pracowników na konkurencyjnym rynku. Działają pod presją konkurencji – w końcu klienci mają duży wybór na zglobalizowanym rynku</w:t>
      </w:r>
      <w:r w:rsidRPr="0085451E">
        <w:rPr>
          <w:rFonts w:asciiTheme="minorHAnsi" w:hAnsiTheme="minorHAnsi" w:cstheme="minorHAnsi"/>
          <w:lang w:val="pl-PL"/>
        </w:rPr>
        <w:t xml:space="preserve"> – wyjaśnia </w:t>
      </w:r>
      <w:r w:rsidRPr="0085451E">
        <w:rPr>
          <w:rFonts w:asciiTheme="minorHAnsi" w:hAnsiTheme="minorHAnsi" w:cstheme="minorHAnsi"/>
          <w:b/>
          <w:bCs/>
          <w:lang w:val="pl-PL"/>
        </w:rPr>
        <w:t xml:space="preserve">Kamil Wolański, </w:t>
      </w:r>
      <w:proofErr w:type="spellStart"/>
      <w:r w:rsidRPr="0085451E">
        <w:rPr>
          <w:rFonts w:asciiTheme="minorHAnsi" w:hAnsiTheme="minorHAnsi" w:cstheme="minorHAnsi"/>
          <w:b/>
          <w:bCs/>
          <w:lang w:val="pl-PL"/>
        </w:rPr>
        <w:t>Head</w:t>
      </w:r>
      <w:proofErr w:type="spellEnd"/>
      <w:r w:rsidRPr="0085451E">
        <w:rPr>
          <w:rFonts w:asciiTheme="minorHAnsi" w:hAnsiTheme="minorHAnsi" w:cstheme="minorHAnsi"/>
          <w:b/>
          <w:bCs/>
          <w:lang w:val="pl-PL"/>
        </w:rPr>
        <w:t xml:space="preserve"> of </w:t>
      </w:r>
      <w:proofErr w:type="spellStart"/>
      <w:r w:rsidRPr="0085451E">
        <w:rPr>
          <w:rFonts w:asciiTheme="minorHAnsi" w:hAnsiTheme="minorHAnsi" w:cstheme="minorHAnsi"/>
          <w:b/>
          <w:bCs/>
          <w:lang w:val="pl-PL"/>
        </w:rPr>
        <w:t>Expert</w:t>
      </w:r>
      <w:proofErr w:type="spellEnd"/>
      <w:r w:rsidRPr="0085451E">
        <w:rPr>
          <w:rFonts w:asciiTheme="minorHAnsi" w:hAnsiTheme="minorHAnsi" w:cstheme="minorHAnsi"/>
          <w:b/>
          <w:bCs/>
          <w:lang w:val="pl-PL"/>
        </w:rPr>
        <w:t xml:space="preserve"> </w:t>
      </w:r>
      <w:proofErr w:type="spellStart"/>
      <w:r w:rsidRPr="0085451E">
        <w:rPr>
          <w:rFonts w:asciiTheme="minorHAnsi" w:hAnsiTheme="minorHAnsi" w:cstheme="minorHAnsi"/>
          <w:b/>
          <w:bCs/>
          <w:lang w:val="pl-PL"/>
        </w:rPr>
        <w:t>Department</w:t>
      </w:r>
      <w:proofErr w:type="spellEnd"/>
      <w:r w:rsidRPr="0085451E">
        <w:rPr>
          <w:rFonts w:asciiTheme="minorHAnsi" w:hAnsiTheme="minorHAnsi" w:cstheme="minorHAnsi"/>
          <w:b/>
          <w:bCs/>
          <w:lang w:val="pl-PL"/>
        </w:rPr>
        <w:t>, Eurowag</w:t>
      </w:r>
      <w:r w:rsidRPr="0085451E">
        <w:rPr>
          <w:rFonts w:asciiTheme="minorHAnsi" w:hAnsiTheme="minorHAnsi" w:cstheme="minorHAnsi"/>
          <w:lang w:val="pl-PL"/>
        </w:rPr>
        <w:t>. </w:t>
      </w:r>
    </w:p>
    <w:p w14:paraId="2DE780DF" w14:textId="77777777" w:rsidR="0085451E" w:rsidRDefault="0085451E" w:rsidP="00C71544">
      <w:pPr>
        <w:spacing w:after="0" w:line="276" w:lineRule="auto"/>
        <w:contextualSpacing/>
        <w:rPr>
          <w:rFonts w:asciiTheme="minorHAnsi" w:hAnsiTheme="minorHAnsi" w:cstheme="minorHAnsi"/>
          <w:lang w:val="pl-PL"/>
        </w:rPr>
      </w:pPr>
      <w:r w:rsidRPr="0085451E">
        <w:rPr>
          <w:rFonts w:asciiTheme="minorHAnsi" w:hAnsiTheme="minorHAnsi" w:cstheme="minorHAnsi"/>
          <w:lang w:val="pl-PL"/>
        </w:rPr>
        <w:t>Mimo długich terminów płatności znaczna część kontrahentów nie opłaca swoich zobowiązań na czas. Nierzadko odzyskanie pieniędzy stanowi wyzwanie, zwłaszcza gdy te znajdują się za granicą. </w:t>
      </w:r>
    </w:p>
    <w:p w14:paraId="7015C22B" w14:textId="77777777" w:rsidR="00C71544" w:rsidRPr="0085451E" w:rsidRDefault="00C71544" w:rsidP="00C71544">
      <w:pPr>
        <w:spacing w:after="0" w:line="276" w:lineRule="auto"/>
        <w:contextualSpacing/>
        <w:rPr>
          <w:rFonts w:asciiTheme="minorHAnsi" w:hAnsiTheme="minorHAnsi" w:cstheme="minorHAnsi"/>
          <w:lang w:val="pl-PL"/>
        </w:rPr>
      </w:pPr>
    </w:p>
    <w:p w14:paraId="2547C993" w14:textId="727F1486" w:rsidR="0085451E" w:rsidRPr="00BA4091" w:rsidRDefault="0085451E" w:rsidP="00C71544">
      <w:pPr>
        <w:spacing w:after="0" w:line="276" w:lineRule="auto"/>
        <w:contextualSpacing/>
        <w:rPr>
          <w:rFonts w:asciiTheme="minorHAnsi" w:hAnsiTheme="minorHAnsi" w:cstheme="minorHAnsi"/>
          <w:i/>
          <w:iCs/>
          <w:lang w:val="pl-PL"/>
        </w:rPr>
      </w:pPr>
      <w:r w:rsidRPr="0085451E">
        <w:rPr>
          <w:rFonts w:asciiTheme="minorHAnsi" w:hAnsiTheme="minorHAnsi" w:cstheme="minorHAnsi"/>
          <w:lang w:val="pl-PL"/>
        </w:rPr>
        <w:t xml:space="preserve">– </w:t>
      </w:r>
      <w:r w:rsidR="00BA4091" w:rsidRPr="00BA4091">
        <w:rPr>
          <w:rFonts w:asciiTheme="minorHAnsi" w:hAnsiTheme="minorHAnsi" w:cstheme="minorHAnsi"/>
          <w:i/>
          <w:iCs/>
          <w:lang w:val="pl-PL"/>
        </w:rPr>
        <w:t>W przypadku zaległych należności od zagranicznych kontrahentów proces odzyskiwania należności może być bardziej złożony. Wpływają na to m.in. bariera językowa, różnice kulturowe, a przede wszystkim odmienne systemy prawne i zasady dochodzenia roszczeń w poszczególnych krajach. Sam proces opiera się jednak na podobnej logice jak w Polsce: w pierwszej kolejności podejmowane są działania polubowne i negocjacje z dłużnikiem, a jeśli nie przynoszą rezultatu, możliwe jest skierowanie sprawy na drogę sądową, a następnie egzekucyjną. W takich sytuacjach rozwiązaniem może być skorzystanie z usług partnera specjalizującego się w kompleksowej windykacji międzynarodowej, prowadzonej bezpośrednio w kraju dłużnika. Pozwala to przedsiębiorcy wykorzystać lokalne doświadczenie i znajomość uwarunkowań prawnych oraz biznesowych, bez konieczności samodzielnego poruszania się po różnych systemach i procedurach obowiązujących za granicą</w:t>
      </w:r>
      <w:r w:rsidR="00BA4091">
        <w:rPr>
          <w:rFonts w:asciiTheme="minorHAnsi" w:hAnsiTheme="minorHAnsi" w:cstheme="minorHAnsi"/>
          <w:i/>
          <w:iCs/>
          <w:lang w:val="pl-PL"/>
        </w:rPr>
        <w:t xml:space="preserve"> –</w:t>
      </w:r>
      <w:r w:rsidRPr="0085451E">
        <w:rPr>
          <w:rFonts w:asciiTheme="minorHAnsi" w:hAnsiTheme="minorHAnsi" w:cstheme="minorHAnsi"/>
          <w:lang w:val="pl-PL"/>
        </w:rPr>
        <w:t xml:space="preserve"> podkreśla </w:t>
      </w:r>
      <w:r w:rsidRPr="0085451E">
        <w:rPr>
          <w:rFonts w:asciiTheme="minorHAnsi" w:hAnsiTheme="minorHAnsi" w:cstheme="minorHAnsi"/>
          <w:b/>
          <w:bCs/>
          <w:lang w:val="pl-PL"/>
        </w:rPr>
        <w:t xml:space="preserve">Rafał Wąsowski, Sales </w:t>
      </w:r>
      <w:proofErr w:type="spellStart"/>
      <w:r w:rsidRPr="0085451E">
        <w:rPr>
          <w:rFonts w:asciiTheme="minorHAnsi" w:hAnsiTheme="minorHAnsi" w:cstheme="minorHAnsi"/>
          <w:b/>
          <w:bCs/>
          <w:lang w:val="pl-PL"/>
        </w:rPr>
        <w:t>Director</w:t>
      </w:r>
      <w:proofErr w:type="spellEnd"/>
      <w:r w:rsidRPr="0085451E">
        <w:rPr>
          <w:rFonts w:asciiTheme="minorHAnsi" w:hAnsiTheme="minorHAnsi" w:cstheme="minorHAnsi"/>
          <w:b/>
          <w:bCs/>
          <w:lang w:val="pl-PL"/>
        </w:rPr>
        <w:t xml:space="preserve"> Market Poland, Intrum</w:t>
      </w:r>
      <w:r w:rsidRPr="0085451E">
        <w:rPr>
          <w:rFonts w:asciiTheme="minorHAnsi" w:hAnsiTheme="minorHAnsi" w:cstheme="minorHAnsi"/>
          <w:lang w:val="pl-PL"/>
        </w:rPr>
        <w:t>.</w:t>
      </w:r>
    </w:p>
    <w:p w14:paraId="4215E669" w14:textId="77777777" w:rsidR="0085451E" w:rsidRDefault="0085451E" w:rsidP="00C71544">
      <w:pPr>
        <w:spacing w:after="0" w:line="276" w:lineRule="auto"/>
        <w:contextualSpacing/>
        <w:rPr>
          <w:rFonts w:asciiTheme="minorHAnsi" w:hAnsiTheme="minorHAnsi" w:cstheme="minorHAnsi"/>
          <w:b/>
          <w:bCs/>
          <w:lang w:val="pl-PL"/>
        </w:rPr>
      </w:pPr>
    </w:p>
    <w:p w14:paraId="7D71EF5F" w14:textId="4951496C" w:rsidR="00E3555C" w:rsidRDefault="006F6210" w:rsidP="00C71544">
      <w:pPr>
        <w:spacing w:after="0" w:line="276" w:lineRule="auto"/>
        <w:contextualSpacing/>
        <w:rPr>
          <w:rFonts w:asciiTheme="minorHAnsi" w:hAnsiTheme="minorHAnsi" w:cstheme="minorHAnsi"/>
          <w:b/>
          <w:bCs/>
        </w:rPr>
      </w:pPr>
      <w:r>
        <w:rPr>
          <w:rFonts w:asciiTheme="minorHAnsi" w:hAnsiTheme="minorHAnsi" w:cstheme="minorHAnsi"/>
          <w:b/>
          <w:bCs/>
        </w:rPr>
        <w:t>J</w:t>
      </w:r>
      <w:r w:rsidRPr="006F6210">
        <w:rPr>
          <w:rFonts w:asciiTheme="minorHAnsi" w:hAnsiTheme="minorHAnsi" w:cstheme="minorHAnsi"/>
          <w:b/>
          <w:bCs/>
        </w:rPr>
        <w:t>ak nie dopłacać do biznesu w transporcie? </w:t>
      </w:r>
    </w:p>
    <w:p w14:paraId="3671CE60" w14:textId="77777777" w:rsidR="00D23EF3" w:rsidRPr="007A54E1" w:rsidRDefault="00D23EF3" w:rsidP="00C71544">
      <w:pPr>
        <w:spacing w:after="0" w:line="276" w:lineRule="auto"/>
        <w:contextualSpacing/>
        <w:rPr>
          <w:rFonts w:asciiTheme="minorHAnsi" w:hAnsiTheme="minorHAnsi" w:cstheme="minorHAnsi"/>
          <w:b/>
          <w:bCs/>
        </w:rPr>
      </w:pPr>
    </w:p>
    <w:p w14:paraId="3E584535" w14:textId="3C3EA7FA" w:rsidR="006F6210" w:rsidRDefault="006F6210" w:rsidP="00C71544">
      <w:pPr>
        <w:spacing w:after="0" w:line="276" w:lineRule="auto"/>
        <w:contextualSpacing/>
        <w:rPr>
          <w:rFonts w:asciiTheme="minorHAnsi" w:hAnsiTheme="minorHAnsi" w:cstheme="minorHAnsi"/>
          <w:lang w:val="pl-PL"/>
        </w:rPr>
      </w:pPr>
      <w:r w:rsidRPr="006F6210">
        <w:rPr>
          <w:rFonts w:asciiTheme="minorHAnsi" w:hAnsiTheme="minorHAnsi" w:cstheme="minorHAnsi"/>
          <w:lang w:val="pl-PL"/>
        </w:rPr>
        <w:t xml:space="preserve">Odzyskiwanie należności za usługę zrealizowaną dla kontrahenta to często proces długotrwały i stresujący. Szansą na uniknięcie tej sytuacji jest faktoring, czyli sprzedaż instytucji finansowej nieprzeterminowanych faktur z odroczonym terminem płatności. Firma transportowa otrzymuje zapłatę za zlecenie pomniejszoną o koszty </w:t>
      </w:r>
      <w:r w:rsidRPr="006F6210">
        <w:rPr>
          <w:rFonts w:asciiTheme="minorHAnsi" w:hAnsiTheme="minorHAnsi" w:cstheme="minorHAnsi"/>
          <w:lang w:val="pl-PL"/>
        </w:rPr>
        <w:lastRenderedPageBreak/>
        <w:t>wykonania usługi. Działanie to jest jednym ze sposobów poprawy płynności finansowej, która ma znaczenie m.in. w przypadku starania się o leasing pojazdów. Zakres faktoringu zależy od podmiotu, do którego zgłosi się przewoźnik. Zwykle opcja ta jest dostępna nie tylko w przypadku polskich kontrahentów, ale też tych prowadzących działalność na terenie Unii Europejskiej. Faktoring nie odpowiada oczywiście na wszystkie wyzwania finansowe. Gdy niezbędne wydatki przewyższają możliwości przedsiębiorstwa, konieczne jest sięgnięcie po dodatkowe wsparcie. Dzieje się tak m.in. podczas wymiany lub powiększania floty. </w:t>
      </w:r>
    </w:p>
    <w:p w14:paraId="2299EE9B" w14:textId="77777777" w:rsidR="00C71544" w:rsidRPr="006F6210" w:rsidRDefault="00C71544" w:rsidP="00C71544">
      <w:pPr>
        <w:spacing w:after="0" w:line="276" w:lineRule="auto"/>
        <w:contextualSpacing/>
        <w:rPr>
          <w:rFonts w:asciiTheme="minorHAnsi" w:hAnsiTheme="minorHAnsi" w:cstheme="minorHAnsi"/>
          <w:lang w:val="pl-PL"/>
        </w:rPr>
      </w:pPr>
    </w:p>
    <w:p w14:paraId="5B63D619" w14:textId="77777777" w:rsidR="006F6210" w:rsidRDefault="006F6210" w:rsidP="00C71544">
      <w:pPr>
        <w:spacing w:after="0" w:line="276" w:lineRule="auto"/>
        <w:contextualSpacing/>
        <w:rPr>
          <w:rFonts w:asciiTheme="minorHAnsi" w:hAnsiTheme="minorHAnsi" w:cstheme="minorHAnsi"/>
          <w:lang w:val="pl-PL"/>
        </w:rPr>
      </w:pPr>
      <w:r w:rsidRPr="006F6210">
        <w:rPr>
          <w:rFonts w:asciiTheme="minorHAnsi" w:hAnsiTheme="minorHAnsi" w:cstheme="minorHAnsi"/>
          <w:lang w:val="pl-PL"/>
        </w:rPr>
        <w:t xml:space="preserve">– </w:t>
      </w:r>
      <w:r w:rsidRPr="006F6210">
        <w:rPr>
          <w:rFonts w:asciiTheme="minorHAnsi" w:hAnsiTheme="minorHAnsi" w:cstheme="minorHAnsi"/>
          <w:i/>
          <w:iCs/>
          <w:lang w:val="pl-PL"/>
        </w:rPr>
        <w:t>Uzyskanie takiego finansowania i okres, na który może być przyznane, jest ograniczone przez różne czynniki. W zależności od instytucji finansowej mogą to być przykładowo wiek i rodzaj pojazdów, ich zbyt niska lub zbyt wysoka wartość, wreszcie pochodzenie czy stan prawny. Problemem mogą być plany zakupu samochodu od nieautoryzowanego dostawcy. Najważniejsza jest jednak sytuacja przewoźnika. Częstymi przyczynami odmowy finansowania są zbyt krótki staż działalności gospodarczej,</w:t>
      </w:r>
      <w:r w:rsidRPr="006F6210">
        <w:rPr>
          <w:rFonts w:asciiTheme="minorHAnsi" w:hAnsiTheme="minorHAnsi" w:cstheme="minorHAnsi"/>
          <w:lang w:val="pl-PL"/>
        </w:rPr>
        <w:t xml:space="preserve"> </w:t>
      </w:r>
      <w:r w:rsidRPr="006F6210">
        <w:rPr>
          <w:rFonts w:asciiTheme="minorHAnsi" w:hAnsiTheme="minorHAnsi" w:cstheme="minorHAnsi"/>
          <w:i/>
          <w:iCs/>
          <w:lang w:val="pl-PL"/>
        </w:rPr>
        <w:t xml:space="preserve">niska zdolność kredytowa, obecność w rejestrach dłużników oraz brak płynności finansowej </w:t>
      </w:r>
      <w:r w:rsidRPr="006F6210">
        <w:rPr>
          <w:rFonts w:asciiTheme="minorHAnsi" w:hAnsiTheme="minorHAnsi" w:cstheme="minorHAnsi"/>
          <w:lang w:val="pl-PL"/>
        </w:rPr>
        <w:t xml:space="preserve">– tłumaczy </w:t>
      </w:r>
      <w:r w:rsidRPr="006F6210">
        <w:rPr>
          <w:rFonts w:asciiTheme="minorHAnsi" w:hAnsiTheme="minorHAnsi" w:cstheme="minorHAnsi"/>
          <w:b/>
          <w:bCs/>
          <w:lang w:val="pl-PL"/>
        </w:rPr>
        <w:t>Maciej Kikta, Kierownik Wydziału Komunikacji, Nest Bank</w:t>
      </w:r>
      <w:r w:rsidRPr="006F6210">
        <w:rPr>
          <w:rFonts w:asciiTheme="minorHAnsi" w:hAnsiTheme="minorHAnsi" w:cstheme="minorHAnsi"/>
          <w:lang w:val="pl-PL"/>
        </w:rPr>
        <w:t>. </w:t>
      </w:r>
    </w:p>
    <w:p w14:paraId="31929E2E" w14:textId="77777777" w:rsidR="00C71544" w:rsidRPr="006F6210" w:rsidRDefault="00C71544" w:rsidP="00C71544">
      <w:pPr>
        <w:spacing w:after="0" w:line="276" w:lineRule="auto"/>
        <w:contextualSpacing/>
        <w:rPr>
          <w:rFonts w:asciiTheme="minorHAnsi" w:hAnsiTheme="minorHAnsi" w:cstheme="minorHAnsi"/>
          <w:lang w:val="pl-PL"/>
        </w:rPr>
      </w:pPr>
    </w:p>
    <w:p w14:paraId="201960BD" w14:textId="59ECB23E" w:rsidR="006F6210" w:rsidRDefault="006F6210" w:rsidP="00C71544">
      <w:pPr>
        <w:spacing w:after="0" w:line="276" w:lineRule="auto"/>
        <w:contextualSpacing/>
        <w:rPr>
          <w:rFonts w:asciiTheme="minorHAnsi" w:hAnsiTheme="minorHAnsi" w:cstheme="minorHAnsi"/>
          <w:lang w:val="pl-PL"/>
        </w:rPr>
      </w:pPr>
      <w:r w:rsidRPr="006F6210">
        <w:rPr>
          <w:rFonts w:asciiTheme="minorHAnsi" w:hAnsiTheme="minorHAnsi" w:cstheme="minorHAnsi"/>
          <w:lang w:val="pl-PL"/>
        </w:rPr>
        <w:t>Największym wyzwaniem dla firmy transportowej jest w tej sytuacji zaplanowanie działań, które zwiększą szansę na uzyskanie finansowania lub leasingu. W miarę możliwości konieczne jest uregulowanie zaległych zobowiązań, składek ZUS i podatków. Na korzyść zadziała znalezienie poręczyciela oraz czynsz inicjalny, czyli wkład własny wpłacany w momencie zawierania umowy leasingowej. Starania o wsparcie finansowe to także dobry moment, by wdrożyć w firmie mechanizmy kontroli wydatków i wpływów.</w:t>
      </w:r>
    </w:p>
    <w:p w14:paraId="696EC79D" w14:textId="77777777" w:rsidR="00C71544" w:rsidRPr="006F6210" w:rsidRDefault="00C71544" w:rsidP="00C71544">
      <w:pPr>
        <w:spacing w:after="0" w:line="276" w:lineRule="auto"/>
        <w:contextualSpacing/>
        <w:rPr>
          <w:rFonts w:asciiTheme="minorHAnsi" w:hAnsiTheme="minorHAnsi" w:cstheme="minorHAnsi"/>
          <w:lang w:val="pl-PL"/>
        </w:rPr>
      </w:pPr>
    </w:p>
    <w:p w14:paraId="08A0FC78" w14:textId="77777777" w:rsidR="006F6210" w:rsidRPr="006F6210" w:rsidRDefault="006F6210" w:rsidP="00C71544">
      <w:pPr>
        <w:spacing w:after="0" w:line="276" w:lineRule="auto"/>
        <w:contextualSpacing/>
        <w:rPr>
          <w:rFonts w:asciiTheme="minorHAnsi" w:hAnsiTheme="minorHAnsi" w:cstheme="minorHAnsi"/>
          <w:lang w:val="pl-PL"/>
        </w:rPr>
      </w:pPr>
      <w:r w:rsidRPr="006F6210">
        <w:rPr>
          <w:rFonts w:asciiTheme="minorHAnsi" w:hAnsiTheme="minorHAnsi" w:cstheme="minorHAnsi"/>
          <w:lang w:val="pl-PL"/>
        </w:rPr>
        <w:t xml:space="preserve">– </w:t>
      </w:r>
      <w:r w:rsidRPr="006F6210">
        <w:rPr>
          <w:rFonts w:asciiTheme="minorHAnsi" w:hAnsiTheme="minorHAnsi" w:cstheme="minorHAnsi"/>
          <w:i/>
          <w:iCs/>
          <w:lang w:val="pl-PL"/>
        </w:rPr>
        <w:t>Przewoźnicy przetwarzają wiele danych związanych z zarządzaniem flotą, planowaniem tras, opłatami drogowymi czy dokumentami rozliczeniowymi. Jeśli informacje te są rozproszone, zarządzanie nimi jest utrudnione. To prosta droga do strat finansowych i problemów z odzyskiwaniem należności. Wyzwania te pomagają ograniczać nowe technologie. Umożliwiają one gromadzenie w jednym miejscu wszystkich najważniejszych informacji, dotyczących m.in. sald, limitów kredytowych, kosztów paliwa czy faktur wystawionych kontrahentom. Rozwiązania tego typu zapewniają szybki dostęp do nieopłaconych czy przeterminowanych płatności, dzięki czemu przewoźnik może szybciej podjąć działania w celu odzyskania zaległości</w:t>
      </w:r>
      <w:r w:rsidRPr="006F6210">
        <w:rPr>
          <w:rFonts w:asciiTheme="minorHAnsi" w:hAnsiTheme="minorHAnsi" w:cstheme="minorHAnsi"/>
          <w:lang w:val="pl-PL"/>
        </w:rPr>
        <w:t xml:space="preserve"> – wskazuje </w:t>
      </w:r>
      <w:r w:rsidRPr="006F6210">
        <w:rPr>
          <w:rFonts w:asciiTheme="minorHAnsi" w:hAnsiTheme="minorHAnsi" w:cstheme="minorHAnsi"/>
          <w:b/>
          <w:bCs/>
          <w:lang w:val="pl-PL"/>
        </w:rPr>
        <w:t xml:space="preserve">Tomasz Czyż, Chief </w:t>
      </w:r>
      <w:proofErr w:type="spellStart"/>
      <w:r w:rsidRPr="006F6210">
        <w:rPr>
          <w:rFonts w:asciiTheme="minorHAnsi" w:hAnsiTheme="minorHAnsi" w:cstheme="minorHAnsi"/>
          <w:b/>
          <w:bCs/>
          <w:lang w:val="pl-PL"/>
        </w:rPr>
        <w:t>Expert</w:t>
      </w:r>
      <w:proofErr w:type="spellEnd"/>
      <w:r w:rsidRPr="006F6210">
        <w:rPr>
          <w:rFonts w:asciiTheme="minorHAnsi" w:hAnsiTheme="minorHAnsi" w:cstheme="minorHAnsi"/>
          <w:b/>
          <w:bCs/>
          <w:lang w:val="pl-PL"/>
        </w:rPr>
        <w:t xml:space="preserve"> for </w:t>
      </w:r>
      <w:proofErr w:type="spellStart"/>
      <w:r w:rsidRPr="006F6210">
        <w:rPr>
          <w:rFonts w:asciiTheme="minorHAnsi" w:hAnsiTheme="minorHAnsi" w:cstheme="minorHAnsi"/>
          <w:b/>
          <w:bCs/>
          <w:lang w:val="pl-PL"/>
        </w:rPr>
        <w:t>Technological</w:t>
      </w:r>
      <w:proofErr w:type="spellEnd"/>
      <w:r w:rsidRPr="006F6210">
        <w:rPr>
          <w:rFonts w:asciiTheme="minorHAnsi" w:hAnsiTheme="minorHAnsi" w:cstheme="minorHAnsi"/>
          <w:b/>
          <w:bCs/>
          <w:lang w:val="pl-PL"/>
        </w:rPr>
        <w:t xml:space="preserve"> Solutions, Eurowag</w:t>
      </w:r>
      <w:r w:rsidRPr="006F6210">
        <w:rPr>
          <w:rFonts w:asciiTheme="minorHAnsi" w:hAnsiTheme="minorHAnsi" w:cstheme="minorHAnsi"/>
          <w:lang w:val="pl-PL"/>
        </w:rPr>
        <w:t>.</w:t>
      </w:r>
    </w:p>
    <w:p w14:paraId="31FE9018" w14:textId="77777777" w:rsidR="00E3555C" w:rsidRPr="007A54E1" w:rsidRDefault="00E3555C" w:rsidP="00C71544">
      <w:pPr>
        <w:spacing w:after="0" w:line="276" w:lineRule="auto"/>
        <w:rPr>
          <w:rFonts w:asciiTheme="minorHAnsi" w:hAnsiTheme="minorHAnsi" w:cstheme="minorHAnsi"/>
        </w:rPr>
      </w:pPr>
    </w:p>
    <w:p w14:paraId="12F73F54" w14:textId="59553C14" w:rsidR="00E3555C" w:rsidRDefault="00EB79C5" w:rsidP="00C71544">
      <w:pPr>
        <w:spacing w:after="0"/>
        <w:rPr>
          <w:rFonts w:asciiTheme="minorHAnsi" w:hAnsiTheme="minorHAnsi" w:cstheme="minorHAnsi"/>
          <w:b/>
          <w:bCs/>
        </w:rPr>
      </w:pPr>
      <w:r w:rsidRPr="00EB79C5">
        <w:rPr>
          <w:rFonts w:asciiTheme="minorHAnsi" w:hAnsiTheme="minorHAnsi" w:cstheme="minorHAnsi"/>
          <w:b/>
          <w:bCs/>
        </w:rPr>
        <w:t>Dyskusja o branżowych problemach </w:t>
      </w:r>
    </w:p>
    <w:p w14:paraId="077ABDAE" w14:textId="77777777" w:rsidR="00EB79C5" w:rsidRPr="00E3555C" w:rsidRDefault="00EB79C5" w:rsidP="00C71544">
      <w:pPr>
        <w:spacing w:after="0"/>
      </w:pPr>
    </w:p>
    <w:p w14:paraId="0CE2593C" w14:textId="383D2462" w:rsidR="00EB79C5" w:rsidRDefault="00EB79C5" w:rsidP="00C71544">
      <w:pPr>
        <w:spacing w:after="0" w:line="276" w:lineRule="auto"/>
        <w:rPr>
          <w:rFonts w:asciiTheme="minorHAnsi" w:hAnsiTheme="minorHAnsi" w:cstheme="minorHAnsi"/>
        </w:rPr>
      </w:pPr>
      <w:r w:rsidRPr="00EB79C5">
        <w:rPr>
          <w:rFonts w:asciiTheme="minorHAnsi" w:hAnsiTheme="minorHAnsi" w:cstheme="minorHAnsi"/>
        </w:rPr>
        <w:t xml:space="preserve">Za tytułem europejskiego lidera branży transportowej ukryta jest szara codzienność polskich przewoźników. Jej głównymi wyznacznikami są m.in. utrudniony dostęp do finansowania i opóźnienia w płatnościach za wykonane usługi. O tym jak poprawić swój wizerunek w oczach instytucji finansowych i radzić sobie z niesolidnymi kontrahentami opowiedzą wieloletni praktycy i eksperci z obszaru technologii dla transportu, bankowości i odzyskiwania należności. Podczas </w:t>
      </w:r>
      <w:proofErr w:type="spellStart"/>
      <w:r w:rsidRPr="00EB79C5">
        <w:rPr>
          <w:rFonts w:asciiTheme="minorHAnsi" w:hAnsiTheme="minorHAnsi" w:cstheme="minorHAnsi"/>
        </w:rPr>
        <w:t>webinaru</w:t>
      </w:r>
      <w:proofErr w:type="spellEnd"/>
      <w:r w:rsidRPr="00EB79C5">
        <w:rPr>
          <w:rFonts w:asciiTheme="minorHAnsi" w:hAnsiTheme="minorHAnsi" w:cstheme="minorHAnsi"/>
        </w:rPr>
        <w:t xml:space="preserve"> </w:t>
      </w:r>
      <w:r w:rsidRPr="00EB79C5">
        <w:rPr>
          <w:rFonts w:asciiTheme="minorHAnsi" w:hAnsiTheme="minorHAnsi" w:cstheme="minorHAnsi"/>
          <w:b/>
          <w:bCs/>
        </w:rPr>
        <w:t>„Czas na transport #54”, który odbędzie się o godz. 10, 29. października (czwartek),</w:t>
      </w:r>
      <w:r w:rsidRPr="00EB79C5">
        <w:rPr>
          <w:rFonts w:asciiTheme="minorHAnsi" w:hAnsiTheme="minorHAnsi" w:cstheme="minorHAnsi"/>
        </w:rPr>
        <w:t xml:space="preserve"> praktyczną wiedzą podzielą się: Kamil Wolański (Eurowag), Tomasz Czyż (Eurowag), Rafał Wąsowski (Intrum) oraz Maciej Kikta (Nest Bank). Formuła będzie miała interaktywny charakter, uwzględniający pytania i problemy zgłoszone przez uczestników Udział w wydarzeniu jest bezpłatny, ale ze względu na ograniczoną liczbę miejsc wymaga wcześniejszej rejestracji. Link do zapisów jest dostępny </w:t>
      </w:r>
      <w:hyperlink r:id="rId9" w:tgtFrame="_blank" w:history="1">
        <w:r w:rsidRPr="00EB79C5">
          <w:rPr>
            <w:rStyle w:val="Hipercze"/>
            <w:rFonts w:asciiTheme="minorHAnsi" w:hAnsiTheme="minorHAnsi" w:cstheme="minorHAnsi"/>
            <w:b/>
            <w:bCs/>
          </w:rPr>
          <w:t>TUTAJ</w:t>
        </w:r>
      </w:hyperlink>
      <w:r w:rsidRPr="00EB79C5">
        <w:rPr>
          <w:rFonts w:asciiTheme="minorHAnsi" w:hAnsiTheme="minorHAnsi" w:cstheme="minorHAnsi"/>
        </w:rPr>
        <w:t>. </w:t>
      </w:r>
    </w:p>
    <w:p w14:paraId="3DB067BB" w14:textId="77777777" w:rsidR="00EB79C5" w:rsidRPr="00EB79C5" w:rsidRDefault="00EB79C5" w:rsidP="00E3555C">
      <w:pPr>
        <w:spacing w:after="0" w:line="276" w:lineRule="auto"/>
        <w:jc w:val="both"/>
        <w:rPr>
          <w:rFonts w:asciiTheme="minorHAnsi" w:hAnsiTheme="minorHAnsi" w:cstheme="minorHAnsi"/>
        </w:rPr>
      </w:pPr>
    </w:p>
    <w:p w14:paraId="0B497F27" w14:textId="77777777" w:rsidR="00B254C8" w:rsidRPr="003B6617" w:rsidRDefault="00B254C8" w:rsidP="00B254C8">
      <w:pPr>
        <w:spacing w:line="276" w:lineRule="auto"/>
        <w:jc w:val="both"/>
        <w:rPr>
          <w:b/>
          <w:bCs/>
        </w:rPr>
      </w:pPr>
      <w:r w:rsidRPr="003B6617">
        <w:rPr>
          <w:b/>
          <w:bCs/>
        </w:rPr>
        <w:t xml:space="preserve">Więcej informacji: </w:t>
      </w:r>
    </w:p>
    <w:p w14:paraId="09F4E4EC" w14:textId="77777777" w:rsidR="00C71544" w:rsidRPr="00CF7FFB" w:rsidRDefault="00C71544" w:rsidP="00C71544">
      <w:pPr>
        <w:shd w:val="clear" w:color="auto" w:fill="FFFFFF"/>
        <w:spacing w:after="0" w:line="276" w:lineRule="auto"/>
        <w:jc w:val="both"/>
        <w:rPr>
          <w:lang w:val="fr-FR"/>
        </w:rPr>
      </w:pPr>
      <w:r w:rsidRPr="00CF7FFB">
        <w:rPr>
          <w:lang w:val="fr-FR"/>
        </w:rPr>
        <w:lastRenderedPageBreak/>
        <w:t>Aleksandra Morka</w:t>
      </w:r>
    </w:p>
    <w:p w14:paraId="12FEF386" w14:textId="77777777" w:rsidR="00C71544" w:rsidRPr="00CF7FFB" w:rsidRDefault="00C71544" w:rsidP="00C71544">
      <w:pPr>
        <w:shd w:val="clear" w:color="auto" w:fill="FFFFFF"/>
        <w:spacing w:after="0" w:line="276" w:lineRule="auto"/>
        <w:jc w:val="both"/>
        <w:rPr>
          <w:lang w:val="fr-FR"/>
        </w:rPr>
      </w:pPr>
      <w:hyperlink r:id="rId10" w:history="1">
        <w:r w:rsidRPr="00CF7FFB">
          <w:rPr>
            <w:rStyle w:val="Hipercze"/>
            <w:lang w:val="fr-FR"/>
          </w:rPr>
          <w:t>a.morka@lightscape.pl</w:t>
        </w:r>
      </w:hyperlink>
      <w:r w:rsidRPr="00CF7FFB">
        <w:rPr>
          <w:lang w:val="fr-FR"/>
        </w:rPr>
        <w:t xml:space="preserve"> </w:t>
      </w:r>
    </w:p>
    <w:p w14:paraId="59D12196" w14:textId="77777777" w:rsidR="00C71544" w:rsidRPr="00CF7FFB" w:rsidRDefault="00C71544" w:rsidP="00C71544">
      <w:pPr>
        <w:shd w:val="clear" w:color="auto" w:fill="FFFFFF"/>
        <w:spacing w:after="0" w:line="276" w:lineRule="auto"/>
        <w:jc w:val="both"/>
      </w:pPr>
      <w:r w:rsidRPr="00CF7FFB">
        <w:t>531 444</w:t>
      </w:r>
      <w:r>
        <w:t> </w:t>
      </w:r>
      <w:r w:rsidRPr="00CF7FFB">
        <w:t>469</w:t>
      </w:r>
    </w:p>
    <w:p w14:paraId="47026364" w14:textId="77777777" w:rsidR="00C71544" w:rsidRPr="007A54E1" w:rsidRDefault="00C71544" w:rsidP="00C71544">
      <w:pPr>
        <w:spacing w:after="0" w:line="276" w:lineRule="auto"/>
        <w:jc w:val="both"/>
        <w:rPr>
          <w:rFonts w:asciiTheme="minorHAnsi" w:hAnsiTheme="minorHAnsi" w:cstheme="minorHAnsi"/>
        </w:rPr>
      </w:pPr>
    </w:p>
    <w:p w14:paraId="1D9FBC0F" w14:textId="77777777" w:rsidR="00B254C8" w:rsidRPr="00CF7FFB" w:rsidRDefault="00B254C8" w:rsidP="00B254C8">
      <w:pPr>
        <w:shd w:val="clear" w:color="auto" w:fill="FFFFFF"/>
        <w:spacing w:after="0" w:line="276" w:lineRule="auto"/>
        <w:jc w:val="both"/>
        <w:rPr>
          <w:lang w:val="it-IT"/>
        </w:rPr>
      </w:pPr>
      <w:r w:rsidRPr="00CF7FFB">
        <w:rPr>
          <w:lang w:val="it-IT"/>
        </w:rPr>
        <w:t>Karolina Góral</w:t>
      </w:r>
    </w:p>
    <w:p w14:paraId="13FE4A78" w14:textId="77777777" w:rsidR="00B254C8" w:rsidRPr="00CF7FFB" w:rsidRDefault="00B254C8" w:rsidP="00B254C8">
      <w:pPr>
        <w:shd w:val="clear" w:color="auto" w:fill="FFFFFF"/>
        <w:spacing w:after="0" w:line="276" w:lineRule="auto"/>
        <w:jc w:val="both"/>
        <w:rPr>
          <w:lang w:val="it-IT"/>
        </w:rPr>
      </w:pPr>
      <w:hyperlink r:id="rId11" w:history="1">
        <w:r w:rsidRPr="00CF7FFB">
          <w:rPr>
            <w:rStyle w:val="Hipercze"/>
            <w:lang w:val="it-IT"/>
          </w:rPr>
          <w:t>k.goral@lightscape.pl</w:t>
        </w:r>
      </w:hyperlink>
    </w:p>
    <w:p w14:paraId="1D7B87DB" w14:textId="77777777" w:rsidR="00B254C8" w:rsidRDefault="00B254C8" w:rsidP="00B254C8">
      <w:pPr>
        <w:shd w:val="clear" w:color="auto" w:fill="FFFFFF"/>
        <w:spacing w:after="0" w:line="276" w:lineRule="auto"/>
        <w:jc w:val="both"/>
        <w:rPr>
          <w:lang w:val="fr-FR"/>
        </w:rPr>
      </w:pPr>
      <w:r w:rsidRPr="00CF7FFB">
        <w:rPr>
          <w:lang w:val="fr-FR"/>
        </w:rPr>
        <w:t>532 186</w:t>
      </w:r>
      <w:r>
        <w:rPr>
          <w:lang w:val="fr-FR"/>
        </w:rPr>
        <w:t> </w:t>
      </w:r>
      <w:r w:rsidRPr="00CF7FFB">
        <w:rPr>
          <w:lang w:val="fr-FR"/>
        </w:rPr>
        <w:t>748</w:t>
      </w:r>
    </w:p>
    <w:p w14:paraId="2717A11F" w14:textId="77777777" w:rsidR="00B254C8" w:rsidRPr="00CF7FFB" w:rsidRDefault="00B254C8" w:rsidP="00B254C8">
      <w:pPr>
        <w:shd w:val="clear" w:color="auto" w:fill="FFFFFF"/>
        <w:spacing w:after="0" w:line="276" w:lineRule="auto"/>
        <w:jc w:val="both"/>
        <w:rPr>
          <w:lang w:val="fr-FR"/>
        </w:rPr>
      </w:pPr>
    </w:p>
    <w:p w14:paraId="5FFB642D" w14:textId="77777777" w:rsidR="007A54E1" w:rsidRDefault="007A54E1" w:rsidP="00E3555C">
      <w:pPr>
        <w:spacing w:after="0"/>
        <w:jc w:val="both"/>
      </w:pPr>
    </w:p>
    <w:p w14:paraId="02109849" w14:textId="77777777" w:rsidR="009811E3" w:rsidRPr="00B62F5B" w:rsidRDefault="009811E3" w:rsidP="00E3555C">
      <w:pPr>
        <w:spacing w:after="0" w:line="276" w:lineRule="auto"/>
        <w:jc w:val="both"/>
        <w:rPr>
          <w:rFonts w:asciiTheme="minorHAnsi" w:eastAsiaTheme="majorEastAsia" w:hAnsiTheme="minorHAnsi" w:cstheme="minorHAnsi"/>
          <w:i/>
          <w:iCs/>
          <w:color w:val="2F5496" w:themeColor="accent1" w:themeShade="BF"/>
          <w:lang w:val="pl-PL" w:eastAsia="en-US"/>
        </w:rPr>
      </w:pPr>
    </w:p>
    <w:sectPr w:rsidR="009811E3" w:rsidRPr="00B62F5B">
      <w:headerReference w:type="default" r:id="rId12"/>
      <w:pgSz w:w="11906" w:h="16838"/>
      <w:pgMar w:top="2268" w:right="765" w:bottom="1440" w:left="765"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5F2D3" w14:textId="77777777" w:rsidR="001B3E17" w:rsidRDefault="001B3E17">
      <w:pPr>
        <w:spacing w:after="0" w:line="240" w:lineRule="auto"/>
      </w:pPr>
      <w:r>
        <w:separator/>
      </w:r>
    </w:p>
  </w:endnote>
  <w:endnote w:type="continuationSeparator" w:id="0">
    <w:p w14:paraId="1D00CDF7" w14:textId="77777777" w:rsidR="001B3E17" w:rsidRDefault="001B3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6A8DE" w14:textId="77777777" w:rsidR="001B3E17" w:rsidRDefault="001B3E17">
      <w:pPr>
        <w:spacing w:after="0" w:line="240" w:lineRule="auto"/>
      </w:pPr>
      <w:r>
        <w:separator/>
      </w:r>
    </w:p>
  </w:footnote>
  <w:footnote w:type="continuationSeparator" w:id="0">
    <w:p w14:paraId="4E5BA498" w14:textId="77777777" w:rsidR="001B3E17" w:rsidRDefault="001B3E17">
      <w:pPr>
        <w:spacing w:after="0" w:line="240" w:lineRule="auto"/>
      </w:pPr>
      <w:r>
        <w:continuationSeparator/>
      </w:r>
    </w:p>
  </w:footnote>
  <w:footnote w:id="1">
    <w:p w14:paraId="64C6361D" w14:textId="092C75F1" w:rsidR="00E1477B" w:rsidRDefault="00E1477B">
      <w:pPr>
        <w:pStyle w:val="Tekstprzypisudolnego"/>
      </w:pPr>
      <w:r>
        <w:rPr>
          <w:rStyle w:val="Odwoanieprzypisudolnego"/>
        </w:rPr>
        <w:footnoteRef/>
      </w:r>
      <w:r>
        <w:t xml:space="preserve"> </w:t>
      </w:r>
      <w:r w:rsidR="00DD6157" w:rsidRPr="00DD6157">
        <w:t>Polski Instytut Ekonomiczny, 2026, Sektor transportu wobec presji kosztowej i dekarbonizacji, s. 9</w:t>
      </w:r>
    </w:p>
  </w:footnote>
  <w:footnote w:id="2">
    <w:p w14:paraId="5BE2A650" w14:textId="774D03AF" w:rsidR="00DD6157" w:rsidRPr="00E82B12" w:rsidRDefault="00DD6157">
      <w:pPr>
        <w:pStyle w:val="Tekstprzypisudolnego"/>
        <w:rPr>
          <w:lang w:val="en-US"/>
        </w:rPr>
      </w:pPr>
      <w:r>
        <w:rPr>
          <w:rStyle w:val="Odwoanieprzypisudolnego"/>
        </w:rPr>
        <w:footnoteRef/>
      </w:r>
      <w:r w:rsidRPr="00E82B12">
        <w:rPr>
          <w:lang w:val="en-US"/>
        </w:rPr>
        <w:t xml:space="preserve"> </w:t>
      </w:r>
      <w:r w:rsidR="00E82B12" w:rsidRPr="00E82B12">
        <w:rPr>
          <w:lang w:val="en-US"/>
        </w:rPr>
        <w:t>Eurostat, 2026, Road freight transport by vehicle characteristics</w:t>
      </w:r>
    </w:p>
  </w:footnote>
  <w:footnote w:id="3">
    <w:p w14:paraId="2F2FC483" w14:textId="3EA15E91" w:rsidR="003F4C3C" w:rsidRDefault="003F4C3C">
      <w:pPr>
        <w:pStyle w:val="Tekstprzypisudolnego"/>
      </w:pPr>
      <w:r>
        <w:rPr>
          <w:rStyle w:val="Odwoanieprzypisudolnego"/>
        </w:rPr>
        <w:footnoteRef/>
      </w:r>
      <w:r>
        <w:t xml:space="preserve"> </w:t>
      </w:r>
      <w:r w:rsidR="00F40015" w:rsidRPr="00F40015">
        <w:t>KRD, 2025, Najbardziej zadłużone branże polskiej gospodarki, s. 6</w:t>
      </w:r>
    </w:p>
  </w:footnote>
  <w:footnote w:id="4">
    <w:p w14:paraId="6E8ABAB3" w14:textId="18495EAD" w:rsidR="003F4C3C" w:rsidRDefault="003F4C3C">
      <w:pPr>
        <w:pStyle w:val="Tekstprzypisudolnego"/>
      </w:pPr>
      <w:r>
        <w:rPr>
          <w:rStyle w:val="Odwoanieprzypisudolnego"/>
        </w:rPr>
        <w:footnoteRef/>
      </w:r>
      <w:r>
        <w:t xml:space="preserve"> </w:t>
      </w:r>
      <w:r w:rsidR="0035757D" w:rsidRPr="0035757D">
        <w:t>COIG, 2026 upadłości firm (kolejne dane z 2025 i 2024 roku)</w:t>
      </w:r>
    </w:p>
  </w:footnote>
  <w:footnote w:id="5">
    <w:p w14:paraId="42A53ADA" w14:textId="460B230B" w:rsidR="003F4C3C" w:rsidRDefault="003F4C3C">
      <w:pPr>
        <w:pStyle w:val="Tekstprzypisudolnego"/>
      </w:pPr>
      <w:r>
        <w:rPr>
          <w:rStyle w:val="Odwoanieprzypisudolnego"/>
        </w:rPr>
        <w:footnoteRef/>
      </w:r>
      <w:r>
        <w:t xml:space="preserve"> </w:t>
      </w:r>
      <w:r w:rsidR="002C5529" w:rsidRPr="002C5529">
        <w:t>Polski Instytut Ekonomiczny, 2026, Sektor transportu wobec presji kosztowej i dekarbonizacji, s. 9</w:t>
      </w:r>
    </w:p>
  </w:footnote>
  <w:footnote w:id="6">
    <w:p w14:paraId="1E3F4F93" w14:textId="3DDE43A9" w:rsidR="002C5529" w:rsidRDefault="002C5529">
      <w:pPr>
        <w:pStyle w:val="Tekstprzypisudolnego"/>
      </w:pPr>
      <w:r>
        <w:rPr>
          <w:rStyle w:val="Odwoanieprzypisudolnego"/>
        </w:rPr>
        <w:footnoteRef/>
      </w:r>
      <w:r>
        <w:t xml:space="preserve"> </w:t>
      </w:r>
      <w:r w:rsidR="00B44710" w:rsidRPr="00B44710">
        <w:t>GUS, Polska w liczbach 2025, s. 32</w:t>
      </w:r>
    </w:p>
  </w:footnote>
  <w:footnote w:id="7">
    <w:p w14:paraId="48DFFC47" w14:textId="48EA97FD" w:rsidR="00B44710" w:rsidRDefault="00B44710">
      <w:pPr>
        <w:pStyle w:val="Tekstprzypisudolnego"/>
      </w:pPr>
      <w:r>
        <w:rPr>
          <w:rStyle w:val="Odwoanieprzypisudolnego"/>
        </w:rPr>
        <w:footnoteRef/>
      </w:r>
      <w:r>
        <w:t xml:space="preserve"> </w:t>
      </w:r>
      <w:r w:rsidR="009D67E6" w:rsidRPr="009D67E6">
        <w:t xml:space="preserve">Transport i Logistyka Polska, </w:t>
      </w:r>
      <w:hyperlink r:id="rId1" w:history="1">
        <w:r w:rsidR="009D67E6" w:rsidRPr="009D67E6">
          <w:rPr>
            <w:rStyle w:val="Hipercze"/>
          </w:rPr>
          <w:t>Transport drogowy w Polsce 2024/2025</w:t>
        </w:r>
      </w:hyperlink>
      <w:r w:rsidR="009D67E6" w:rsidRPr="009D67E6">
        <w:t>, s. 12</w:t>
      </w:r>
    </w:p>
  </w:footnote>
  <w:footnote w:id="8">
    <w:p w14:paraId="35237FD7" w14:textId="0D3FE397" w:rsidR="009D67E6" w:rsidRDefault="009D67E6">
      <w:pPr>
        <w:pStyle w:val="Tekstprzypisudolnego"/>
      </w:pPr>
      <w:r>
        <w:rPr>
          <w:rStyle w:val="Odwoanieprzypisudolnego"/>
        </w:rPr>
        <w:footnoteRef/>
      </w:r>
      <w:r>
        <w:t xml:space="preserve"> </w:t>
      </w:r>
      <w:r w:rsidR="00013B06" w:rsidRPr="00013B06">
        <w:t>Polski Instytut Ekonomiczny, 2026, Sektor transportu wobec presji kosztowej i dekarbonizacji, s. 9</w:t>
      </w:r>
    </w:p>
  </w:footnote>
  <w:footnote w:id="9">
    <w:p w14:paraId="4FA0F1AC" w14:textId="22D9635B" w:rsidR="00013B06" w:rsidRDefault="00013B06">
      <w:pPr>
        <w:pStyle w:val="Tekstprzypisudolnego"/>
      </w:pPr>
      <w:r>
        <w:rPr>
          <w:rStyle w:val="Odwoanieprzypisudolnego"/>
        </w:rPr>
        <w:footnoteRef/>
      </w:r>
      <w:r>
        <w:t xml:space="preserve"> </w:t>
      </w:r>
      <w:r w:rsidR="00E14E02" w:rsidRPr="00E14E02">
        <w:t>Transport i Logistyka Polska, Transport drogowy w Polsce 2024/2025, s. 24</w:t>
      </w:r>
    </w:p>
  </w:footnote>
  <w:footnote w:id="10">
    <w:p w14:paraId="5682CC65" w14:textId="767D51D4" w:rsidR="00E14E02" w:rsidRDefault="00E14E02">
      <w:pPr>
        <w:pStyle w:val="Tekstprzypisudolnego"/>
      </w:pPr>
      <w:r>
        <w:rPr>
          <w:rStyle w:val="Odwoanieprzypisudolnego"/>
        </w:rPr>
        <w:footnoteRef/>
      </w:r>
      <w:r>
        <w:t xml:space="preserve"> </w:t>
      </w:r>
      <w:r w:rsidR="009C2169" w:rsidRPr="009C2169">
        <w:t xml:space="preserve">Eurostat, 2026, Road </w:t>
      </w:r>
      <w:proofErr w:type="spellStart"/>
      <w:r w:rsidR="009C2169" w:rsidRPr="009C2169">
        <w:t>freight</w:t>
      </w:r>
      <w:proofErr w:type="spellEnd"/>
      <w:r w:rsidR="009C2169" w:rsidRPr="009C2169">
        <w:t xml:space="preserve"> transport </w:t>
      </w:r>
      <w:proofErr w:type="spellStart"/>
      <w:r w:rsidR="009C2169" w:rsidRPr="009C2169">
        <w:t>statistics</w:t>
      </w:r>
      <w:proofErr w:type="spellEnd"/>
    </w:p>
  </w:footnote>
  <w:footnote w:id="11">
    <w:p w14:paraId="12718AF5" w14:textId="1A7AC730" w:rsidR="009C2169" w:rsidRDefault="009C2169">
      <w:pPr>
        <w:pStyle w:val="Tekstprzypisudolnego"/>
      </w:pPr>
      <w:r>
        <w:rPr>
          <w:rStyle w:val="Odwoanieprzypisudolnego"/>
        </w:rPr>
        <w:footnoteRef/>
      </w:r>
      <w:r>
        <w:t xml:space="preserve"> </w:t>
      </w:r>
      <w:r w:rsidR="00924EA0" w:rsidRPr="00924EA0">
        <w:t>KRD, 2025, Najbardziej zadłużone branże polskiej gospodarki, s. 19</w:t>
      </w:r>
    </w:p>
  </w:footnote>
  <w:footnote w:id="12">
    <w:p w14:paraId="6F5EC1FD" w14:textId="68FFEC36" w:rsidR="00924EA0" w:rsidRPr="00E83BC3" w:rsidRDefault="00924EA0">
      <w:pPr>
        <w:pStyle w:val="Tekstprzypisudolnego"/>
        <w:rPr>
          <w:lang w:val="en-US"/>
        </w:rPr>
      </w:pPr>
      <w:r>
        <w:rPr>
          <w:rStyle w:val="Odwoanieprzypisudolnego"/>
        </w:rPr>
        <w:footnoteRef/>
      </w:r>
      <w:r w:rsidRPr="00E83BC3">
        <w:rPr>
          <w:lang w:val="en-US"/>
        </w:rPr>
        <w:t xml:space="preserve"> </w:t>
      </w:r>
      <w:r w:rsidR="00E83BC3">
        <w:rPr>
          <w:lang w:val="en-US"/>
        </w:rPr>
        <w:t>T</w:t>
      </w:r>
      <w:r w:rsidR="00E83BC3" w:rsidRPr="00E83BC3">
        <w:rPr>
          <w:lang w:val="en-US"/>
        </w:rPr>
        <w:t xml:space="preserve">rans-Logistic, 2025, </w:t>
      </w:r>
      <w:proofErr w:type="spellStart"/>
      <w:r w:rsidR="00E83BC3" w:rsidRPr="00E83BC3">
        <w:rPr>
          <w:lang w:val="en-US"/>
        </w:rPr>
        <w:t>Raport</w:t>
      </w:r>
      <w:proofErr w:type="spellEnd"/>
      <w:r w:rsidR="00E83BC3" w:rsidRPr="00E83BC3">
        <w:rPr>
          <w:lang w:val="en-US"/>
        </w:rPr>
        <w:t xml:space="preserve"> </w:t>
      </w:r>
      <w:proofErr w:type="spellStart"/>
      <w:r w:rsidR="00E83BC3" w:rsidRPr="00E83BC3">
        <w:rPr>
          <w:lang w:val="en-US"/>
        </w:rPr>
        <w:t>branżowy</w:t>
      </w:r>
      <w:proofErr w:type="spellEnd"/>
      <w:r w:rsidR="00E83BC3" w:rsidRPr="00E83BC3">
        <w:rPr>
          <w:lang w:val="en-US"/>
        </w:rPr>
        <w:t xml:space="preserve"> TSL, s. 4</w:t>
      </w:r>
    </w:p>
  </w:footnote>
  <w:footnote w:id="13">
    <w:p w14:paraId="1961C9C6" w14:textId="49F2935B" w:rsidR="00E83BC3" w:rsidRDefault="00E83BC3">
      <w:pPr>
        <w:pStyle w:val="Tekstprzypisudolnego"/>
      </w:pPr>
      <w:r>
        <w:rPr>
          <w:rStyle w:val="Odwoanieprzypisudolnego"/>
        </w:rPr>
        <w:footnoteRef/>
      </w:r>
      <w:r>
        <w:t xml:space="preserve"> </w:t>
      </w:r>
      <w:r w:rsidR="00C669CE" w:rsidRPr="00C669CE">
        <w:t>Transport i Logistyka Polska, 2025, Warunki zawierania umów i zleceń przewozowych w transporcie drogowym, s. 6</w:t>
      </w:r>
    </w:p>
  </w:footnote>
  <w:footnote w:id="14">
    <w:p w14:paraId="016228BC" w14:textId="4E99CAC7" w:rsidR="00C669CE" w:rsidRDefault="00C669CE">
      <w:pPr>
        <w:pStyle w:val="Tekstprzypisudolnego"/>
      </w:pPr>
      <w:r>
        <w:rPr>
          <w:rStyle w:val="Odwoanieprzypisudolnego"/>
        </w:rPr>
        <w:footnoteRef/>
      </w:r>
      <w:r>
        <w:t xml:space="preserve"> </w:t>
      </w:r>
      <w:r w:rsidR="0029351D" w:rsidRPr="0029351D">
        <w:t>Transport i Logistyka Polska, 2025, Warunki zawierania umów i zleceń przewozowych w transporcie drogowym, s. 22</w:t>
      </w:r>
    </w:p>
  </w:footnote>
  <w:footnote w:id="15">
    <w:p w14:paraId="6E750186" w14:textId="7A89120E" w:rsidR="0029351D" w:rsidRDefault="0029351D">
      <w:pPr>
        <w:pStyle w:val="Tekstprzypisudolnego"/>
      </w:pPr>
      <w:r>
        <w:rPr>
          <w:rStyle w:val="Odwoanieprzypisudolnego"/>
        </w:rPr>
        <w:footnoteRef/>
      </w:r>
      <w:r>
        <w:t xml:space="preserve"> </w:t>
      </w:r>
      <w:r w:rsidR="003931E4" w:rsidRPr="003931E4">
        <w:t>Transport i Logistyka Polska, 2025, Warunki zawierania umów i zleceń przewozowych w transporcie drogowym, s. 28</w:t>
      </w:r>
    </w:p>
  </w:footnote>
  <w:footnote w:id="16">
    <w:p w14:paraId="43FC0D61" w14:textId="07715066" w:rsidR="003931E4" w:rsidRDefault="003931E4">
      <w:pPr>
        <w:pStyle w:val="Tekstprzypisudolnego"/>
      </w:pPr>
      <w:r>
        <w:rPr>
          <w:rStyle w:val="Odwoanieprzypisudolnego"/>
        </w:rPr>
        <w:footnoteRef/>
      </w:r>
      <w:r>
        <w:t xml:space="preserve"> </w:t>
      </w:r>
      <w:r w:rsidR="008A76AC" w:rsidRPr="008A76AC">
        <w:rPr>
          <w:lang w:val="pl"/>
        </w:rPr>
        <w:t xml:space="preserve">Transport i Logistyka Polska, 2025, </w:t>
      </w:r>
      <w:hyperlink r:id="rId2" w:history="1">
        <w:r w:rsidR="008A76AC" w:rsidRPr="008A76AC">
          <w:rPr>
            <w:rStyle w:val="Hipercze"/>
            <w:lang w:val="pl"/>
          </w:rPr>
          <w:t>Warunki zawierania umów i zleceń przewozowych w transporcie drogowym</w:t>
        </w:r>
      </w:hyperlink>
      <w:r w:rsidR="008A76AC" w:rsidRPr="008A76AC">
        <w:rPr>
          <w:lang w:val="pl"/>
        </w:rPr>
        <w:t>, s.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440A76" w:rsidRDefault="00A45A27">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0" distR="0" simplePos="0" relativeHeight="251658240" behindDoc="1" locked="0" layoutInCell="1" hidden="0" allowOverlap="1" wp14:anchorId="76AA738D" wp14:editId="041FE37C">
          <wp:simplePos x="0" y="0"/>
          <wp:positionH relativeFrom="page">
            <wp:align>right</wp:align>
          </wp:positionH>
          <wp:positionV relativeFrom="page">
            <wp:align>bottom</wp:align>
          </wp:positionV>
          <wp:extent cx="7563600" cy="10698834"/>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3600" cy="1069883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4541"/>
    <w:multiLevelType w:val="hybridMultilevel"/>
    <w:tmpl w:val="E25A1386"/>
    <w:lvl w:ilvl="0" w:tplc="D0A83288">
      <w:numFmt w:val="bullet"/>
      <w:lvlText w:val="-"/>
      <w:lvlJc w:val="left"/>
      <w:pPr>
        <w:ind w:left="720" w:hanging="360"/>
      </w:pPr>
      <w:rPr>
        <w:rFonts w:ascii="Calibri" w:eastAsia="Calibri" w:hAnsi="Calibri" w:cs="Calibri"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BE766E4"/>
    <w:multiLevelType w:val="hybridMultilevel"/>
    <w:tmpl w:val="F4F611BC"/>
    <w:lvl w:ilvl="0" w:tplc="64BACB54">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76A2484"/>
    <w:multiLevelType w:val="hybridMultilevel"/>
    <w:tmpl w:val="43849D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22309F9"/>
    <w:multiLevelType w:val="hybridMultilevel"/>
    <w:tmpl w:val="D9869018"/>
    <w:lvl w:ilvl="0" w:tplc="C6E60CAE">
      <w:numFmt w:val="bullet"/>
      <w:lvlText w:val="-"/>
      <w:lvlJc w:val="left"/>
      <w:pPr>
        <w:ind w:left="720" w:hanging="360"/>
      </w:pPr>
      <w:rPr>
        <w:rFonts w:ascii="Calibri" w:eastAsia="Calibri" w:hAnsi="Calibri" w:cs="Calibri"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BBD18A6"/>
    <w:multiLevelType w:val="multilevel"/>
    <w:tmpl w:val="77FEE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A178BA"/>
    <w:multiLevelType w:val="multilevel"/>
    <w:tmpl w:val="AE103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35125680">
    <w:abstractNumId w:val="5"/>
  </w:num>
  <w:num w:numId="2" w16cid:durableId="1013605782">
    <w:abstractNumId w:val="0"/>
  </w:num>
  <w:num w:numId="3" w16cid:durableId="131212786">
    <w:abstractNumId w:val="3"/>
  </w:num>
  <w:num w:numId="4" w16cid:durableId="1157191476">
    <w:abstractNumId w:val="1"/>
  </w:num>
  <w:num w:numId="5" w16cid:durableId="1888829828">
    <w:abstractNumId w:val="4"/>
  </w:num>
  <w:num w:numId="6" w16cid:durableId="2101636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A76"/>
    <w:rsid w:val="00010203"/>
    <w:rsid w:val="0001344A"/>
    <w:rsid w:val="00013B06"/>
    <w:rsid w:val="00020456"/>
    <w:rsid w:val="0002548E"/>
    <w:rsid w:val="00066856"/>
    <w:rsid w:val="000801CB"/>
    <w:rsid w:val="00084128"/>
    <w:rsid w:val="000956EC"/>
    <w:rsid w:val="000A160C"/>
    <w:rsid w:val="000D45C5"/>
    <w:rsid w:val="00113AE5"/>
    <w:rsid w:val="0011690A"/>
    <w:rsid w:val="00130D04"/>
    <w:rsid w:val="00134474"/>
    <w:rsid w:val="001348ED"/>
    <w:rsid w:val="00135CFE"/>
    <w:rsid w:val="001447D2"/>
    <w:rsid w:val="00145D43"/>
    <w:rsid w:val="00164557"/>
    <w:rsid w:val="00165CDF"/>
    <w:rsid w:val="001759AF"/>
    <w:rsid w:val="001B3E17"/>
    <w:rsid w:val="001C2325"/>
    <w:rsid w:val="001E1918"/>
    <w:rsid w:val="00215FDC"/>
    <w:rsid w:val="00235401"/>
    <w:rsid w:val="00255D99"/>
    <w:rsid w:val="0026043F"/>
    <w:rsid w:val="00282B27"/>
    <w:rsid w:val="0029351D"/>
    <w:rsid w:val="0029611B"/>
    <w:rsid w:val="002C5529"/>
    <w:rsid w:val="002D6144"/>
    <w:rsid w:val="00324FA3"/>
    <w:rsid w:val="00332323"/>
    <w:rsid w:val="00342EEF"/>
    <w:rsid w:val="003519CB"/>
    <w:rsid w:val="0035477A"/>
    <w:rsid w:val="00355B69"/>
    <w:rsid w:val="0035757D"/>
    <w:rsid w:val="00367F01"/>
    <w:rsid w:val="003748F9"/>
    <w:rsid w:val="003814A7"/>
    <w:rsid w:val="00383C3D"/>
    <w:rsid w:val="003931E4"/>
    <w:rsid w:val="003C11B4"/>
    <w:rsid w:val="003D0EBB"/>
    <w:rsid w:val="003F4C3C"/>
    <w:rsid w:val="00402D5F"/>
    <w:rsid w:val="004077C6"/>
    <w:rsid w:val="00416AF3"/>
    <w:rsid w:val="00440A76"/>
    <w:rsid w:val="004420BE"/>
    <w:rsid w:val="00450AAB"/>
    <w:rsid w:val="004620FB"/>
    <w:rsid w:val="004B7B7D"/>
    <w:rsid w:val="005153A6"/>
    <w:rsid w:val="005230E7"/>
    <w:rsid w:val="005635EC"/>
    <w:rsid w:val="005638E5"/>
    <w:rsid w:val="00576C61"/>
    <w:rsid w:val="005E1BB8"/>
    <w:rsid w:val="00610CE5"/>
    <w:rsid w:val="00673819"/>
    <w:rsid w:val="00674AFD"/>
    <w:rsid w:val="00696397"/>
    <w:rsid w:val="006B4511"/>
    <w:rsid w:val="006C63A8"/>
    <w:rsid w:val="006E32CE"/>
    <w:rsid w:val="006E6C71"/>
    <w:rsid w:val="006E78AA"/>
    <w:rsid w:val="006F6210"/>
    <w:rsid w:val="006F64D6"/>
    <w:rsid w:val="006F7F3C"/>
    <w:rsid w:val="007155CB"/>
    <w:rsid w:val="007409F2"/>
    <w:rsid w:val="0075108D"/>
    <w:rsid w:val="00756BD0"/>
    <w:rsid w:val="007774F7"/>
    <w:rsid w:val="007A54E1"/>
    <w:rsid w:val="007A5DCD"/>
    <w:rsid w:val="007B4AC0"/>
    <w:rsid w:val="007E1277"/>
    <w:rsid w:val="00811DB5"/>
    <w:rsid w:val="00821046"/>
    <w:rsid w:val="008250F8"/>
    <w:rsid w:val="00852285"/>
    <w:rsid w:val="0085451E"/>
    <w:rsid w:val="00877727"/>
    <w:rsid w:val="00877EBC"/>
    <w:rsid w:val="008A2EBF"/>
    <w:rsid w:val="008A42AD"/>
    <w:rsid w:val="008A76AC"/>
    <w:rsid w:val="008F2EF0"/>
    <w:rsid w:val="00922407"/>
    <w:rsid w:val="00924EA0"/>
    <w:rsid w:val="00956C12"/>
    <w:rsid w:val="00966D82"/>
    <w:rsid w:val="009739B0"/>
    <w:rsid w:val="009811E3"/>
    <w:rsid w:val="009938A4"/>
    <w:rsid w:val="009A4562"/>
    <w:rsid w:val="009A5C49"/>
    <w:rsid w:val="009B7897"/>
    <w:rsid w:val="009B7EF2"/>
    <w:rsid w:val="009C2169"/>
    <w:rsid w:val="009D07BD"/>
    <w:rsid w:val="009D087F"/>
    <w:rsid w:val="009D0907"/>
    <w:rsid w:val="009D144D"/>
    <w:rsid w:val="009D14D0"/>
    <w:rsid w:val="009D67E6"/>
    <w:rsid w:val="00A14E17"/>
    <w:rsid w:val="00A30B7A"/>
    <w:rsid w:val="00A3597F"/>
    <w:rsid w:val="00A44376"/>
    <w:rsid w:val="00A45A27"/>
    <w:rsid w:val="00A54EEE"/>
    <w:rsid w:val="00A64976"/>
    <w:rsid w:val="00A66D47"/>
    <w:rsid w:val="00A76D9C"/>
    <w:rsid w:val="00A9527E"/>
    <w:rsid w:val="00AB1585"/>
    <w:rsid w:val="00AC5F24"/>
    <w:rsid w:val="00AC77FE"/>
    <w:rsid w:val="00B254C8"/>
    <w:rsid w:val="00B44710"/>
    <w:rsid w:val="00B62F5B"/>
    <w:rsid w:val="00BA4091"/>
    <w:rsid w:val="00BA704F"/>
    <w:rsid w:val="00BC5187"/>
    <w:rsid w:val="00BC7728"/>
    <w:rsid w:val="00BD3B4B"/>
    <w:rsid w:val="00BD6053"/>
    <w:rsid w:val="00C20E73"/>
    <w:rsid w:val="00C46D0A"/>
    <w:rsid w:val="00C669CE"/>
    <w:rsid w:val="00C71544"/>
    <w:rsid w:val="00C909C3"/>
    <w:rsid w:val="00C966A0"/>
    <w:rsid w:val="00C96768"/>
    <w:rsid w:val="00CA0ADF"/>
    <w:rsid w:val="00CB0E7C"/>
    <w:rsid w:val="00CB60AD"/>
    <w:rsid w:val="00CD6C08"/>
    <w:rsid w:val="00CF471E"/>
    <w:rsid w:val="00D23EF3"/>
    <w:rsid w:val="00D44205"/>
    <w:rsid w:val="00D52E2F"/>
    <w:rsid w:val="00D55A39"/>
    <w:rsid w:val="00D55F89"/>
    <w:rsid w:val="00D61702"/>
    <w:rsid w:val="00D66B98"/>
    <w:rsid w:val="00D70C6F"/>
    <w:rsid w:val="00DC0E1C"/>
    <w:rsid w:val="00DD4802"/>
    <w:rsid w:val="00DD6157"/>
    <w:rsid w:val="00DE19E4"/>
    <w:rsid w:val="00DE7599"/>
    <w:rsid w:val="00DF3E7E"/>
    <w:rsid w:val="00E05655"/>
    <w:rsid w:val="00E1477B"/>
    <w:rsid w:val="00E14E02"/>
    <w:rsid w:val="00E3555C"/>
    <w:rsid w:val="00E363A1"/>
    <w:rsid w:val="00E82B12"/>
    <w:rsid w:val="00E83BC3"/>
    <w:rsid w:val="00EA11CF"/>
    <w:rsid w:val="00EB79C5"/>
    <w:rsid w:val="00ED6A95"/>
    <w:rsid w:val="00EE2DC5"/>
    <w:rsid w:val="00EF23AA"/>
    <w:rsid w:val="00EF3212"/>
    <w:rsid w:val="00F07562"/>
    <w:rsid w:val="00F40015"/>
    <w:rsid w:val="00F467FB"/>
    <w:rsid w:val="00F52945"/>
    <w:rsid w:val="00F6020F"/>
    <w:rsid w:val="00F82D86"/>
    <w:rsid w:val="00F91B4C"/>
    <w:rsid w:val="00F91F74"/>
    <w:rsid w:val="00F94496"/>
    <w:rsid w:val="00FA1D7C"/>
    <w:rsid w:val="00FC6851"/>
    <w:rsid w:val="00FD07A3"/>
    <w:rsid w:val="00FD7475"/>
    <w:rsid w:val="00FE70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2AC8F"/>
  <w15:docId w15:val="{9C4AD940-9314-C540-959E-5E02DEC6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240" w:after="0"/>
      <w:outlineLvl w:val="0"/>
    </w:pPr>
    <w:rPr>
      <w:color w:val="2F5496"/>
      <w:sz w:val="32"/>
      <w:szCs w:val="32"/>
    </w:rPr>
  </w:style>
  <w:style w:type="paragraph" w:styleId="Nagwek2">
    <w:name w:val="heading 2"/>
    <w:basedOn w:val="Normalny"/>
    <w:next w:val="Normalny"/>
    <w:uiPriority w:val="9"/>
    <w:unhideWhenUsed/>
    <w:qFormat/>
    <w:pPr>
      <w:keepNext/>
      <w:keepLines/>
      <w:spacing w:before="40" w:after="0"/>
      <w:outlineLvl w:val="1"/>
    </w:pPr>
    <w:rPr>
      <w:color w:val="2F5496"/>
      <w:sz w:val="26"/>
      <w:szCs w:val="26"/>
    </w:rPr>
  </w:style>
  <w:style w:type="paragraph" w:styleId="Nagwek3">
    <w:name w:val="heading 3"/>
    <w:basedOn w:val="Normalny"/>
    <w:next w:val="Normalny"/>
    <w:uiPriority w:val="9"/>
    <w:semiHidden/>
    <w:unhideWhenUsed/>
    <w:qFormat/>
    <w:pPr>
      <w:keepNext/>
      <w:keepLines/>
      <w:spacing w:before="40" w:after="0"/>
      <w:outlineLvl w:val="2"/>
    </w:pPr>
    <w:rPr>
      <w:color w:val="1F3863"/>
      <w:sz w:val="24"/>
      <w:szCs w:val="24"/>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link w:val="NagwekZnak"/>
    <w:uiPriority w:val="99"/>
    <w:unhideWhenUsed/>
    <w:rsid w:val="002910EA"/>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2910EA"/>
  </w:style>
  <w:style w:type="paragraph" w:styleId="Stopka">
    <w:name w:val="footer"/>
    <w:link w:val="StopkaZnak"/>
    <w:uiPriority w:val="99"/>
    <w:unhideWhenUsed/>
    <w:rsid w:val="002910EA"/>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2910EA"/>
  </w:style>
  <w:style w:type="paragraph" w:customStyle="1" w:styleId="BasicParagraph">
    <w:name w:val="[Basic Paragraph]"/>
    <w:uiPriority w:val="99"/>
    <w:rsid w:val="00DF728F"/>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customStyle="1" w:styleId="Nagwek1Znak">
    <w:name w:val="Nagłówek 1 Znak"/>
    <w:basedOn w:val="Domylnaczcionkaakapitu"/>
    <w:uiPriority w:val="9"/>
    <w:rsid w:val="003008DA"/>
    <w:rPr>
      <w:rFonts w:asciiTheme="majorHAnsi" w:eastAsiaTheme="majorEastAsia" w:hAnsiTheme="majorHAnsi" w:cstheme="majorBidi"/>
      <w:color w:val="2F5496" w:themeColor="accent1" w:themeShade="BF"/>
      <w:sz w:val="32"/>
      <w:szCs w:val="32"/>
    </w:rPr>
  </w:style>
  <w:style w:type="character" w:styleId="Odwoaniedokomentarza">
    <w:name w:val="annotation reference"/>
    <w:basedOn w:val="Domylnaczcionkaakapitu"/>
    <w:uiPriority w:val="99"/>
    <w:semiHidden/>
    <w:unhideWhenUsed/>
    <w:rsid w:val="003008DA"/>
    <w:rPr>
      <w:sz w:val="16"/>
      <w:szCs w:val="16"/>
    </w:rPr>
  </w:style>
  <w:style w:type="character" w:styleId="Hipercze">
    <w:name w:val="Hyperlink"/>
    <w:basedOn w:val="Domylnaczcionkaakapitu"/>
    <w:uiPriority w:val="99"/>
    <w:unhideWhenUsed/>
    <w:rsid w:val="003008DA"/>
    <w:rPr>
      <w:color w:val="0563C1" w:themeColor="hyperlink"/>
      <w:u w:val="single"/>
    </w:rPr>
  </w:style>
  <w:style w:type="paragraph" w:styleId="Tekstkomentarza">
    <w:name w:val="annotation text"/>
    <w:link w:val="TekstkomentarzaZnak"/>
    <w:uiPriority w:val="99"/>
    <w:unhideWhenUsed/>
    <w:rsid w:val="00B23E29"/>
    <w:pPr>
      <w:spacing w:line="240" w:lineRule="auto"/>
    </w:pPr>
    <w:rPr>
      <w:sz w:val="20"/>
      <w:szCs w:val="20"/>
    </w:rPr>
  </w:style>
  <w:style w:type="character" w:customStyle="1" w:styleId="TekstkomentarzaZnak">
    <w:name w:val="Tekst komentarza Znak"/>
    <w:basedOn w:val="Domylnaczcionkaakapitu"/>
    <w:link w:val="Tekstkomentarza"/>
    <w:uiPriority w:val="99"/>
    <w:rsid w:val="00B23E29"/>
    <w:rPr>
      <w:sz w:val="20"/>
      <w:szCs w:val="20"/>
    </w:rPr>
  </w:style>
  <w:style w:type="paragraph" w:styleId="Tematkomentarza">
    <w:name w:val="annotation subject"/>
    <w:basedOn w:val="Tekstkomentarza"/>
    <w:next w:val="Tekstkomentarza"/>
    <w:link w:val="TematkomentarzaZnak"/>
    <w:uiPriority w:val="99"/>
    <w:semiHidden/>
    <w:unhideWhenUsed/>
    <w:rsid w:val="00B23E29"/>
    <w:rPr>
      <w:b/>
      <w:bCs/>
    </w:rPr>
  </w:style>
  <w:style w:type="character" w:customStyle="1" w:styleId="TematkomentarzaZnak">
    <w:name w:val="Temat komentarza Znak"/>
    <w:basedOn w:val="TekstkomentarzaZnak"/>
    <w:link w:val="Tematkomentarza"/>
    <w:uiPriority w:val="99"/>
    <w:semiHidden/>
    <w:rsid w:val="00B23E29"/>
    <w:rPr>
      <w:b/>
      <w:bCs/>
      <w:sz w:val="20"/>
      <w:szCs w:val="20"/>
    </w:rPr>
  </w:style>
  <w:style w:type="character" w:styleId="Nierozpoznanawzmianka">
    <w:name w:val="Unresolved Mention"/>
    <w:basedOn w:val="Domylnaczcionkaakapitu"/>
    <w:uiPriority w:val="99"/>
    <w:semiHidden/>
    <w:unhideWhenUsed/>
    <w:rsid w:val="00455982"/>
    <w:rPr>
      <w:color w:val="605E5C"/>
      <w:shd w:val="clear" w:color="auto" w:fill="E1DFDD"/>
    </w:rPr>
  </w:style>
  <w:style w:type="paragraph" w:styleId="Poprawka">
    <w:name w:val="Revision"/>
    <w:hidden/>
    <w:uiPriority w:val="99"/>
    <w:semiHidden/>
    <w:rsid w:val="007A7B40"/>
    <w:pPr>
      <w:spacing w:after="0" w:line="240" w:lineRule="auto"/>
    </w:pPr>
  </w:style>
  <w:style w:type="character" w:styleId="UyteHipercze">
    <w:name w:val="FollowedHyperlink"/>
    <w:basedOn w:val="Domylnaczcionkaakapitu"/>
    <w:uiPriority w:val="99"/>
    <w:semiHidden/>
    <w:unhideWhenUsed/>
    <w:rsid w:val="0007254C"/>
    <w:rPr>
      <w:color w:val="954F72" w:themeColor="followedHyperlink"/>
      <w:u w:val="single"/>
    </w:rPr>
  </w:style>
  <w:style w:type="character" w:customStyle="1" w:styleId="normaltextrun">
    <w:name w:val="normaltextrun"/>
    <w:basedOn w:val="Domylnaczcionkaakapitu"/>
    <w:rsid w:val="00F12207"/>
  </w:style>
  <w:style w:type="character" w:customStyle="1" w:styleId="eop">
    <w:name w:val="eop"/>
    <w:basedOn w:val="Domylnaczcionkaakapitu"/>
    <w:rsid w:val="00F12207"/>
  </w:style>
  <w:style w:type="character" w:customStyle="1" w:styleId="spellingerror">
    <w:name w:val="spellingerror"/>
    <w:basedOn w:val="Domylnaczcionkaakapitu"/>
    <w:rsid w:val="00A8103A"/>
  </w:style>
  <w:style w:type="character" w:customStyle="1" w:styleId="Nagwek2Znak">
    <w:name w:val="Nagłówek 2 Znak"/>
    <w:basedOn w:val="Domylnaczcionkaakapitu"/>
    <w:uiPriority w:val="9"/>
    <w:rsid w:val="00A8103A"/>
    <w:rPr>
      <w:rFonts w:asciiTheme="majorHAnsi" w:eastAsiaTheme="majorEastAsia" w:hAnsiTheme="majorHAnsi" w:cstheme="majorBidi"/>
      <w:color w:val="2F5496" w:themeColor="accent1" w:themeShade="BF"/>
      <w:sz w:val="26"/>
      <w:szCs w:val="26"/>
    </w:rPr>
  </w:style>
  <w:style w:type="paragraph" w:customStyle="1" w:styleId="paragraph">
    <w:name w:val="paragraph"/>
    <w:rsid w:val="00A62F7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scxw247770686">
    <w:name w:val="scxw247770686"/>
    <w:basedOn w:val="Domylnaczcionkaakapitu"/>
    <w:rsid w:val="00A62F78"/>
  </w:style>
  <w:style w:type="character" w:customStyle="1" w:styleId="contextualspellingandgrammarerror">
    <w:name w:val="contextualspellingandgrammarerror"/>
    <w:basedOn w:val="Domylnaczcionkaakapitu"/>
    <w:rsid w:val="00943C2E"/>
  </w:style>
  <w:style w:type="character" w:customStyle="1" w:styleId="Nagwek3Znak">
    <w:name w:val="Nagłówek 3 Znak"/>
    <w:basedOn w:val="Domylnaczcionkaakapitu"/>
    <w:uiPriority w:val="9"/>
    <w:semiHidden/>
    <w:rsid w:val="000C6DB3"/>
    <w:rPr>
      <w:rFonts w:asciiTheme="majorHAnsi" w:eastAsiaTheme="majorEastAsia" w:hAnsiTheme="majorHAnsi" w:cstheme="majorBidi"/>
      <w:color w:val="1F3763" w:themeColor="accent1" w:themeShade="7F"/>
      <w:sz w:val="24"/>
      <w:szCs w:val="24"/>
    </w:rPr>
  </w:style>
  <w:style w:type="paragraph" w:styleId="NormalnyWeb">
    <w:name w:val="Normal (Web)"/>
    <w:uiPriority w:val="99"/>
    <w:unhideWhenUsed/>
    <w:rsid w:val="00FF7F51"/>
    <w:rPr>
      <w:rFonts w:ascii="Times New Roman" w:hAnsi="Times New Roman" w:cs="Times New Roman"/>
      <w:sz w:val="24"/>
      <w:szCs w:val="24"/>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character" w:styleId="Pogrubienie">
    <w:name w:val="Strong"/>
    <w:basedOn w:val="Domylnaczcionkaakapitu"/>
    <w:uiPriority w:val="22"/>
    <w:qFormat/>
    <w:rsid w:val="00D55F89"/>
    <w:rPr>
      <w:b/>
      <w:bCs/>
    </w:rPr>
  </w:style>
  <w:style w:type="paragraph" w:styleId="Akapitzlist">
    <w:name w:val="List Paragraph"/>
    <w:basedOn w:val="Normalny"/>
    <w:uiPriority w:val="34"/>
    <w:qFormat/>
    <w:rsid w:val="00F6020F"/>
    <w:pPr>
      <w:ind w:left="720"/>
      <w:contextualSpacing/>
    </w:pPr>
  </w:style>
  <w:style w:type="paragraph" w:styleId="Tekstprzypisudolnego">
    <w:name w:val="footnote text"/>
    <w:basedOn w:val="Normalny"/>
    <w:link w:val="TekstprzypisudolnegoZnak"/>
    <w:uiPriority w:val="99"/>
    <w:semiHidden/>
    <w:unhideWhenUsed/>
    <w:rsid w:val="004077C6"/>
    <w:pPr>
      <w:spacing w:after="0" w:line="240" w:lineRule="auto"/>
    </w:pPr>
    <w:rPr>
      <w:rFonts w:asciiTheme="minorHAnsi" w:eastAsiaTheme="minorHAnsi" w:hAnsiTheme="minorHAnsi" w:cstheme="minorBidi"/>
      <w:kern w:val="2"/>
      <w:sz w:val="20"/>
      <w:szCs w:val="20"/>
      <w:lang w:val="pl-PL" w:eastAsia="en-US"/>
      <w14:ligatures w14:val="standardContextual"/>
    </w:rPr>
  </w:style>
  <w:style w:type="character" w:customStyle="1" w:styleId="TekstprzypisudolnegoZnak">
    <w:name w:val="Tekst przypisu dolnego Znak"/>
    <w:basedOn w:val="Domylnaczcionkaakapitu"/>
    <w:link w:val="Tekstprzypisudolnego"/>
    <w:uiPriority w:val="99"/>
    <w:semiHidden/>
    <w:rsid w:val="004077C6"/>
    <w:rPr>
      <w:rFonts w:asciiTheme="minorHAnsi" w:eastAsiaTheme="minorHAnsi" w:hAnsiTheme="minorHAnsi" w:cstheme="minorBidi"/>
      <w:kern w:val="2"/>
      <w:sz w:val="20"/>
      <w:szCs w:val="20"/>
      <w:lang w:val="pl-PL" w:eastAsia="en-US"/>
      <w14:ligatures w14:val="standardContextual"/>
    </w:rPr>
  </w:style>
  <w:style w:type="character" w:styleId="Odwoanieprzypisudolnego">
    <w:name w:val="footnote reference"/>
    <w:basedOn w:val="Domylnaczcionkaakapitu"/>
    <w:uiPriority w:val="99"/>
    <w:semiHidden/>
    <w:unhideWhenUsed/>
    <w:rsid w:val="004077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65198">
      <w:bodyDiv w:val="1"/>
      <w:marLeft w:val="0"/>
      <w:marRight w:val="0"/>
      <w:marTop w:val="0"/>
      <w:marBottom w:val="0"/>
      <w:divBdr>
        <w:top w:val="none" w:sz="0" w:space="0" w:color="auto"/>
        <w:left w:val="none" w:sz="0" w:space="0" w:color="auto"/>
        <w:bottom w:val="none" w:sz="0" w:space="0" w:color="auto"/>
        <w:right w:val="none" w:sz="0" w:space="0" w:color="auto"/>
      </w:divBdr>
      <w:divsChild>
        <w:div w:id="153572190">
          <w:marLeft w:val="0"/>
          <w:marRight w:val="0"/>
          <w:marTop w:val="240"/>
          <w:marBottom w:val="240"/>
          <w:divBdr>
            <w:top w:val="none" w:sz="0" w:space="0" w:color="auto"/>
            <w:left w:val="none" w:sz="0" w:space="0" w:color="auto"/>
            <w:bottom w:val="none" w:sz="0" w:space="0" w:color="auto"/>
            <w:right w:val="none" w:sz="0" w:space="0" w:color="auto"/>
          </w:divBdr>
        </w:div>
        <w:div w:id="1662270152">
          <w:marLeft w:val="0"/>
          <w:marRight w:val="0"/>
          <w:marTop w:val="240"/>
          <w:marBottom w:val="240"/>
          <w:divBdr>
            <w:top w:val="none" w:sz="0" w:space="0" w:color="auto"/>
            <w:left w:val="none" w:sz="0" w:space="0" w:color="auto"/>
            <w:bottom w:val="none" w:sz="0" w:space="0" w:color="auto"/>
            <w:right w:val="none" w:sz="0" w:space="0" w:color="auto"/>
          </w:divBdr>
        </w:div>
        <w:div w:id="375466852">
          <w:marLeft w:val="0"/>
          <w:marRight w:val="0"/>
          <w:marTop w:val="240"/>
          <w:marBottom w:val="240"/>
          <w:divBdr>
            <w:top w:val="none" w:sz="0" w:space="0" w:color="auto"/>
            <w:left w:val="none" w:sz="0" w:space="0" w:color="auto"/>
            <w:bottom w:val="none" w:sz="0" w:space="0" w:color="auto"/>
            <w:right w:val="none" w:sz="0" w:space="0" w:color="auto"/>
          </w:divBdr>
        </w:div>
        <w:div w:id="596331911">
          <w:marLeft w:val="0"/>
          <w:marRight w:val="0"/>
          <w:marTop w:val="240"/>
          <w:marBottom w:val="240"/>
          <w:divBdr>
            <w:top w:val="none" w:sz="0" w:space="0" w:color="auto"/>
            <w:left w:val="none" w:sz="0" w:space="0" w:color="auto"/>
            <w:bottom w:val="none" w:sz="0" w:space="0" w:color="auto"/>
            <w:right w:val="none" w:sz="0" w:space="0" w:color="auto"/>
          </w:divBdr>
        </w:div>
        <w:div w:id="1235894559">
          <w:marLeft w:val="0"/>
          <w:marRight w:val="0"/>
          <w:marTop w:val="240"/>
          <w:marBottom w:val="240"/>
          <w:divBdr>
            <w:top w:val="none" w:sz="0" w:space="0" w:color="auto"/>
            <w:left w:val="none" w:sz="0" w:space="0" w:color="auto"/>
            <w:bottom w:val="none" w:sz="0" w:space="0" w:color="auto"/>
            <w:right w:val="none" w:sz="0" w:space="0" w:color="auto"/>
          </w:divBdr>
        </w:div>
        <w:div w:id="1551108651">
          <w:marLeft w:val="0"/>
          <w:marRight w:val="0"/>
          <w:marTop w:val="240"/>
          <w:marBottom w:val="240"/>
          <w:divBdr>
            <w:top w:val="none" w:sz="0" w:space="0" w:color="auto"/>
            <w:left w:val="none" w:sz="0" w:space="0" w:color="auto"/>
            <w:bottom w:val="none" w:sz="0" w:space="0" w:color="auto"/>
            <w:right w:val="none" w:sz="0" w:space="0" w:color="auto"/>
          </w:divBdr>
        </w:div>
        <w:div w:id="524444114">
          <w:marLeft w:val="0"/>
          <w:marRight w:val="0"/>
          <w:marTop w:val="240"/>
          <w:marBottom w:val="240"/>
          <w:divBdr>
            <w:top w:val="none" w:sz="0" w:space="0" w:color="auto"/>
            <w:left w:val="none" w:sz="0" w:space="0" w:color="auto"/>
            <w:bottom w:val="none" w:sz="0" w:space="0" w:color="auto"/>
            <w:right w:val="none" w:sz="0" w:space="0" w:color="auto"/>
          </w:divBdr>
        </w:div>
        <w:div w:id="1643847223">
          <w:marLeft w:val="0"/>
          <w:marRight w:val="0"/>
          <w:marTop w:val="240"/>
          <w:marBottom w:val="240"/>
          <w:divBdr>
            <w:top w:val="none" w:sz="0" w:space="0" w:color="auto"/>
            <w:left w:val="none" w:sz="0" w:space="0" w:color="auto"/>
            <w:bottom w:val="none" w:sz="0" w:space="0" w:color="auto"/>
            <w:right w:val="none" w:sz="0" w:space="0" w:color="auto"/>
          </w:divBdr>
        </w:div>
        <w:div w:id="686952398">
          <w:marLeft w:val="0"/>
          <w:marRight w:val="0"/>
          <w:marTop w:val="240"/>
          <w:marBottom w:val="240"/>
          <w:divBdr>
            <w:top w:val="none" w:sz="0" w:space="0" w:color="auto"/>
            <w:left w:val="none" w:sz="0" w:space="0" w:color="auto"/>
            <w:bottom w:val="none" w:sz="0" w:space="0" w:color="auto"/>
            <w:right w:val="none" w:sz="0" w:space="0" w:color="auto"/>
          </w:divBdr>
        </w:div>
        <w:div w:id="1008867261">
          <w:marLeft w:val="0"/>
          <w:marRight w:val="0"/>
          <w:marTop w:val="240"/>
          <w:marBottom w:val="240"/>
          <w:divBdr>
            <w:top w:val="none" w:sz="0" w:space="0" w:color="auto"/>
            <w:left w:val="none" w:sz="0" w:space="0" w:color="auto"/>
            <w:bottom w:val="none" w:sz="0" w:space="0" w:color="auto"/>
            <w:right w:val="none" w:sz="0" w:space="0" w:color="auto"/>
          </w:divBdr>
        </w:div>
        <w:div w:id="1254973053">
          <w:marLeft w:val="0"/>
          <w:marRight w:val="0"/>
          <w:marTop w:val="240"/>
          <w:marBottom w:val="240"/>
          <w:divBdr>
            <w:top w:val="none" w:sz="0" w:space="0" w:color="auto"/>
            <w:left w:val="none" w:sz="0" w:space="0" w:color="auto"/>
            <w:bottom w:val="none" w:sz="0" w:space="0" w:color="auto"/>
            <w:right w:val="none" w:sz="0" w:space="0" w:color="auto"/>
          </w:divBdr>
        </w:div>
        <w:div w:id="254245310">
          <w:marLeft w:val="0"/>
          <w:marRight w:val="0"/>
          <w:marTop w:val="240"/>
          <w:marBottom w:val="240"/>
          <w:divBdr>
            <w:top w:val="none" w:sz="0" w:space="0" w:color="auto"/>
            <w:left w:val="none" w:sz="0" w:space="0" w:color="auto"/>
            <w:bottom w:val="none" w:sz="0" w:space="0" w:color="auto"/>
            <w:right w:val="none" w:sz="0" w:space="0" w:color="auto"/>
          </w:divBdr>
        </w:div>
        <w:div w:id="616761398">
          <w:marLeft w:val="0"/>
          <w:marRight w:val="0"/>
          <w:marTop w:val="240"/>
          <w:marBottom w:val="240"/>
          <w:divBdr>
            <w:top w:val="none" w:sz="0" w:space="0" w:color="auto"/>
            <w:left w:val="none" w:sz="0" w:space="0" w:color="auto"/>
            <w:bottom w:val="none" w:sz="0" w:space="0" w:color="auto"/>
            <w:right w:val="none" w:sz="0" w:space="0" w:color="auto"/>
          </w:divBdr>
        </w:div>
      </w:divsChild>
    </w:div>
    <w:div w:id="1302153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goral@lightscape.pl" TargetMode="External"/><Relationship Id="rId5" Type="http://schemas.openxmlformats.org/officeDocument/2006/relationships/settings" Target="settings.xml"/><Relationship Id="rId10" Type="http://schemas.openxmlformats.org/officeDocument/2006/relationships/hyperlink" Target="mailto:a.morka@lightscape.pl" TargetMode="External"/><Relationship Id="rId4" Type="http://schemas.openxmlformats.org/officeDocument/2006/relationships/styles" Target="styles.xml"/><Relationship Id="rId9" Type="http://schemas.openxmlformats.org/officeDocument/2006/relationships/hyperlink" Target="https://www.eurowag.com/pl/webinaria/czas-na-transport-54-webinar"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tlp.org.pl/wp-content/uploads/2025/06/raport-warunki-zawierania-umow-i-zlecen-przewozowych-w-transporcie-drogowym.pdf" TargetMode="External"/><Relationship Id="rId1" Type="http://schemas.openxmlformats.org/officeDocument/2006/relationships/hyperlink" Target="https://tlp.org.pl/wp-content/uploads/2025/01/transport_drogowy_w_polsce_2024_2025-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z2FhcpYNA81w5PIrkmTvTwVjLw==">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F4F447-7E5F-8941-9CEC-B58526511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1391</Words>
  <Characters>8348</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Cave-Ayland</dc:creator>
  <cp:lastModifiedBy>Aleksandra Morka</cp:lastModifiedBy>
  <cp:revision>2</cp:revision>
  <dcterms:created xsi:type="dcterms:W3CDTF">2026-10-26T08:00:00Z</dcterms:created>
  <dcterms:modified xsi:type="dcterms:W3CDTF">2026-10-26T08:00:00Z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0x010100023B101F1AEE3446B496BB1101DD5987</vt:lpwstr>
  </property>
</Properties>
</file>