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E154" w14:textId="77777777" w:rsidR="006F342F" w:rsidRPr="00AC6C0B" w:rsidRDefault="006F342F" w:rsidP="00AC6C0B">
      <w:pPr>
        <w:pBdr>
          <w:bottom w:val="single" w:sz="12" w:space="1" w:color="auto"/>
        </w:pBdr>
        <w:jc w:val="both"/>
        <w:rPr>
          <w:rFonts w:ascii="Cambria" w:hAnsi="Cambria" w:cs="Times New Roman"/>
          <w:b/>
          <w:color w:val="auto"/>
          <w:sz w:val="21"/>
          <w:szCs w:val="21"/>
        </w:rPr>
      </w:pPr>
      <w:r w:rsidRPr="00AC6C0B">
        <w:rPr>
          <w:rFonts w:ascii="Cambria" w:hAnsi="Cambria"/>
          <w:b/>
          <w:sz w:val="21"/>
          <w:szCs w:val="21"/>
        </w:rPr>
        <w:t>INFORMACJA PRASOWA</w:t>
      </w:r>
    </w:p>
    <w:p w14:paraId="4772FF46" w14:textId="43582257" w:rsidR="006F342F" w:rsidRPr="00AC6C0B" w:rsidRDefault="006F342F" w:rsidP="00AC6C0B">
      <w:pPr>
        <w:jc w:val="both"/>
        <w:rPr>
          <w:rFonts w:ascii="Cambria" w:hAnsi="Cambria"/>
          <w:sz w:val="21"/>
          <w:szCs w:val="21"/>
        </w:rPr>
      </w:pPr>
      <w:r w:rsidRPr="00AC6C0B">
        <w:rPr>
          <w:rFonts w:ascii="Cambria" w:hAnsi="Cambria"/>
          <w:sz w:val="21"/>
          <w:szCs w:val="21"/>
        </w:rPr>
        <w:t>Gdańsk,</w:t>
      </w:r>
      <w:r w:rsidR="00BE5A37">
        <w:rPr>
          <w:rFonts w:ascii="Cambria" w:hAnsi="Cambria"/>
          <w:sz w:val="21"/>
          <w:szCs w:val="21"/>
        </w:rPr>
        <w:t xml:space="preserve"> 27 </w:t>
      </w:r>
      <w:r w:rsidR="00EE3A1E" w:rsidRPr="00AC6C0B">
        <w:rPr>
          <w:rFonts w:ascii="Cambria" w:hAnsi="Cambria"/>
          <w:sz w:val="21"/>
          <w:szCs w:val="21"/>
        </w:rPr>
        <w:t>października</w:t>
      </w:r>
      <w:r w:rsidRPr="00AC6C0B">
        <w:rPr>
          <w:rFonts w:ascii="Cambria" w:hAnsi="Cambria"/>
          <w:sz w:val="21"/>
          <w:szCs w:val="21"/>
        </w:rPr>
        <w:t xml:space="preserve"> 2026 r.</w:t>
      </w:r>
    </w:p>
    <w:p w14:paraId="212C9E36" w14:textId="77777777" w:rsidR="004E4320" w:rsidRPr="00AC6C0B" w:rsidRDefault="004E4320" w:rsidP="00AC6C0B">
      <w:pPr>
        <w:jc w:val="both"/>
        <w:rPr>
          <w:rFonts w:ascii="Cambria" w:hAnsi="Cambria" w:cs="Calibri"/>
          <w:b/>
          <w:bCs/>
          <w:iCs/>
          <w:color w:val="215E99" w:themeColor="text2" w:themeTint="BF"/>
          <w:spacing w:val="-2"/>
          <w:sz w:val="21"/>
          <w:szCs w:val="21"/>
        </w:rPr>
      </w:pPr>
    </w:p>
    <w:p w14:paraId="12EB42AD" w14:textId="429B5D6E" w:rsidR="00AC6C0B" w:rsidRPr="00AC6C0B" w:rsidRDefault="0060337F" w:rsidP="00AC6C0B">
      <w:pPr>
        <w:spacing w:before="100" w:beforeAutospacing="1" w:after="100" w:afterAutospacing="1"/>
        <w:jc w:val="both"/>
        <w:outlineLvl w:val="0"/>
        <w:rPr>
          <w:rFonts w:ascii="Cambria" w:hAnsi="Cambria" w:cs="Times New Roman"/>
          <w:b/>
          <w:bCs/>
          <w:color w:val="0F4761" w:themeColor="accent1" w:themeShade="BF"/>
          <w:kern w:val="36"/>
          <w:sz w:val="28"/>
          <w:szCs w:val="28"/>
        </w:rPr>
      </w:pPr>
      <w:r>
        <w:rPr>
          <w:rFonts w:ascii="Cambria" w:hAnsi="Cambria" w:cs="Times New Roman"/>
          <w:b/>
          <w:bCs/>
          <w:color w:val="0F4761" w:themeColor="accent1" w:themeShade="BF"/>
          <w:kern w:val="36"/>
          <w:sz w:val="28"/>
          <w:szCs w:val="28"/>
        </w:rPr>
        <w:t>Badanie ZPF i EY: 6 na 10</w:t>
      </w:r>
      <w:r w:rsidRPr="0060337F">
        <w:rPr>
          <w:rFonts w:ascii="Cambria" w:hAnsi="Cambria" w:cs="Times New Roman"/>
          <w:b/>
          <w:bCs/>
          <w:color w:val="0F4761" w:themeColor="accent1" w:themeShade="BF"/>
          <w:kern w:val="36"/>
          <w:sz w:val="28"/>
          <w:szCs w:val="28"/>
        </w:rPr>
        <w:t xml:space="preserve"> instytucji finansowych nie odnotowało wzrostu nadużyć</w:t>
      </w:r>
      <w:r>
        <w:rPr>
          <w:rFonts w:ascii="Cambria" w:hAnsi="Cambria" w:cs="Times New Roman"/>
          <w:b/>
          <w:bCs/>
          <w:color w:val="0F4761" w:themeColor="accent1" w:themeShade="BF"/>
          <w:kern w:val="36"/>
          <w:sz w:val="28"/>
          <w:szCs w:val="28"/>
        </w:rPr>
        <w:t>. Zagrożenie jednak nie znik</w:t>
      </w:r>
      <w:r w:rsidR="0014620F">
        <w:rPr>
          <w:rFonts w:ascii="Cambria" w:hAnsi="Cambria" w:cs="Times New Roman"/>
          <w:b/>
          <w:bCs/>
          <w:color w:val="0F4761" w:themeColor="accent1" w:themeShade="BF"/>
          <w:kern w:val="36"/>
          <w:sz w:val="28"/>
          <w:szCs w:val="28"/>
        </w:rPr>
        <w:t>nęło</w:t>
      </w:r>
    </w:p>
    <w:p w14:paraId="4BDB7B5C" w14:textId="70E5903E"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b/>
          <w:bCs/>
          <w:color w:val="auto"/>
          <w:sz w:val="21"/>
          <w:szCs w:val="21"/>
        </w:rPr>
        <w:t>Blisko 60 proc. instytucji finansowych nie odnotowało w 2025 r. zmian w intensywności nadużyć, a odsetek podmiotów zgłaszających ich nasilenie wyraźnie się zmniejszył</w:t>
      </w:r>
      <w:r w:rsidR="0060337F">
        <w:rPr>
          <w:rFonts w:ascii="Cambria" w:hAnsi="Cambria" w:cs="Times New Roman"/>
          <w:b/>
          <w:bCs/>
          <w:color w:val="auto"/>
          <w:sz w:val="21"/>
          <w:szCs w:val="21"/>
        </w:rPr>
        <w:t xml:space="preserve"> –</w:t>
      </w:r>
      <w:r w:rsidR="0060337F" w:rsidRPr="00AC6C0B">
        <w:rPr>
          <w:rFonts w:ascii="Cambria" w:hAnsi="Cambria" w:cs="Times New Roman"/>
          <w:b/>
          <w:bCs/>
          <w:color w:val="auto"/>
          <w:sz w:val="21"/>
          <w:szCs w:val="21"/>
        </w:rPr>
        <w:t xml:space="preserve"> wynika z najnowszego badania ZPF i EY Polska</w:t>
      </w:r>
      <w:r w:rsidRPr="00AC6C0B">
        <w:rPr>
          <w:rFonts w:ascii="Cambria" w:hAnsi="Cambria" w:cs="Times New Roman"/>
          <w:b/>
          <w:bCs/>
          <w:color w:val="auto"/>
          <w:sz w:val="21"/>
          <w:szCs w:val="21"/>
        </w:rPr>
        <w:t xml:space="preserve">. </w:t>
      </w:r>
      <w:r w:rsidR="0060337F">
        <w:rPr>
          <w:rFonts w:ascii="Cambria" w:hAnsi="Cambria" w:cs="Times New Roman"/>
          <w:b/>
          <w:bCs/>
          <w:color w:val="auto"/>
          <w:sz w:val="21"/>
          <w:szCs w:val="21"/>
        </w:rPr>
        <w:t xml:space="preserve">Nie oznacza to jednak, że zagrożenie ustało. </w:t>
      </w:r>
      <w:r w:rsidRPr="00AC6C0B">
        <w:rPr>
          <w:rFonts w:ascii="Cambria" w:hAnsi="Cambria" w:cs="Times New Roman"/>
          <w:b/>
          <w:bCs/>
          <w:color w:val="auto"/>
          <w:sz w:val="21"/>
          <w:szCs w:val="21"/>
        </w:rPr>
        <w:t>Największe obawy na najbliższe dwa lata budzą socjotechnika i wykorzystanie sztucznej inteligencji.</w:t>
      </w:r>
    </w:p>
    <w:p w14:paraId="3E1866F1"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Mniej instytucji odnotowuje nasilenie nadużyć</w:t>
      </w:r>
    </w:p>
    <w:p w14:paraId="49320251" w14:textId="5A93A05B" w:rsidR="00AC6C0B" w:rsidRPr="00AC6C0B" w:rsidRDefault="0060337F" w:rsidP="00AC6C0B">
      <w:pPr>
        <w:spacing w:before="100" w:beforeAutospacing="1" w:after="100" w:afterAutospacing="1"/>
        <w:jc w:val="both"/>
        <w:rPr>
          <w:rFonts w:ascii="Cambria" w:hAnsi="Cambria" w:cs="Times New Roman"/>
          <w:color w:val="auto"/>
          <w:sz w:val="21"/>
          <w:szCs w:val="21"/>
        </w:rPr>
      </w:pPr>
      <w:r w:rsidRPr="0060337F">
        <w:rPr>
          <w:rFonts w:ascii="Cambria" w:hAnsi="Cambria" w:cs="Times New Roman"/>
          <w:color w:val="auto"/>
          <w:sz w:val="21"/>
          <w:szCs w:val="21"/>
        </w:rPr>
        <w:t xml:space="preserve">Najnowsza edycja badania </w:t>
      </w:r>
      <w:r w:rsidR="001D4704">
        <w:rPr>
          <w:rFonts w:ascii="Cambria" w:hAnsi="Cambria" w:cs="Times New Roman"/>
          <w:color w:val="auto"/>
          <w:sz w:val="21"/>
          <w:szCs w:val="21"/>
        </w:rPr>
        <w:t xml:space="preserve">ZPF i EY Polska </w:t>
      </w:r>
      <w:r w:rsidRPr="0060337F">
        <w:rPr>
          <w:rFonts w:ascii="Cambria" w:hAnsi="Cambria" w:cs="Times New Roman"/>
          <w:color w:val="auto"/>
          <w:sz w:val="21"/>
          <w:szCs w:val="21"/>
        </w:rPr>
        <w:t>pokazuje stabilizację skali nadużyć w sektorze finansowym.</w:t>
      </w:r>
      <w:r>
        <w:rPr>
          <w:rFonts w:ascii="Cambria" w:hAnsi="Cambria" w:cs="Times New Roman"/>
          <w:color w:val="auto"/>
          <w:sz w:val="21"/>
          <w:szCs w:val="21"/>
        </w:rPr>
        <w:t xml:space="preserve"> </w:t>
      </w:r>
      <w:r w:rsidR="00AC6C0B" w:rsidRPr="00AC6C0B">
        <w:rPr>
          <w:rFonts w:ascii="Cambria" w:hAnsi="Cambria" w:cs="Times New Roman"/>
          <w:color w:val="auto"/>
          <w:sz w:val="21"/>
          <w:szCs w:val="21"/>
        </w:rPr>
        <w:t xml:space="preserve">Wzrost intensywności </w:t>
      </w:r>
      <w:r>
        <w:rPr>
          <w:rFonts w:ascii="Cambria" w:hAnsi="Cambria" w:cs="Times New Roman"/>
          <w:color w:val="auto"/>
          <w:sz w:val="21"/>
          <w:szCs w:val="21"/>
        </w:rPr>
        <w:t>w tej kwestii</w:t>
      </w:r>
      <w:r w:rsidRPr="00AC6C0B">
        <w:rPr>
          <w:rFonts w:ascii="Cambria" w:hAnsi="Cambria" w:cs="Times New Roman"/>
          <w:color w:val="auto"/>
          <w:sz w:val="21"/>
          <w:szCs w:val="21"/>
        </w:rPr>
        <w:t xml:space="preserve"> </w:t>
      </w:r>
      <w:r w:rsidRPr="0060337F">
        <w:rPr>
          <w:rFonts w:ascii="Cambria" w:hAnsi="Cambria" w:cs="Times New Roman"/>
          <w:color w:val="auto"/>
          <w:sz w:val="21"/>
          <w:szCs w:val="21"/>
        </w:rPr>
        <w:t>zgłosiła co trzecia badana instytucja (34</w:t>
      </w:r>
      <w:r w:rsidR="00641251">
        <w:rPr>
          <w:rFonts w:ascii="Cambria" w:hAnsi="Cambria" w:cs="Times New Roman"/>
          <w:color w:val="auto"/>
          <w:sz w:val="21"/>
          <w:szCs w:val="21"/>
        </w:rPr>
        <w:t xml:space="preserve"> proc.</w:t>
      </w:r>
      <w:r w:rsidRPr="0060337F">
        <w:rPr>
          <w:rFonts w:ascii="Cambria" w:hAnsi="Cambria" w:cs="Times New Roman"/>
          <w:color w:val="auto"/>
          <w:sz w:val="21"/>
          <w:szCs w:val="21"/>
        </w:rPr>
        <w:t>)</w:t>
      </w:r>
      <w:r w:rsidR="00AC6C0B" w:rsidRPr="00AC6C0B">
        <w:rPr>
          <w:rFonts w:ascii="Cambria" w:hAnsi="Cambria" w:cs="Times New Roman"/>
          <w:color w:val="auto"/>
          <w:sz w:val="21"/>
          <w:szCs w:val="21"/>
        </w:rPr>
        <w:t xml:space="preserve">, wobec 47 proc. rok wcześniej. </w:t>
      </w:r>
      <w:r w:rsidRPr="0060337F">
        <w:rPr>
          <w:rFonts w:ascii="Cambria" w:hAnsi="Cambria" w:cs="Times New Roman"/>
          <w:color w:val="auto"/>
          <w:sz w:val="21"/>
          <w:szCs w:val="21"/>
        </w:rPr>
        <w:t>Blisko 6 na 10 respondentów (59</w:t>
      </w:r>
      <w:r w:rsidR="00641251">
        <w:rPr>
          <w:rFonts w:ascii="Cambria" w:hAnsi="Cambria" w:cs="Times New Roman"/>
          <w:color w:val="auto"/>
          <w:sz w:val="21"/>
          <w:szCs w:val="21"/>
        </w:rPr>
        <w:t xml:space="preserve"> proc.</w:t>
      </w:r>
      <w:r w:rsidRPr="0060337F">
        <w:rPr>
          <w:rFonts w:ascii="Cambria" w:hAnsi="Cambria" w:cs="Times New Roman"/>
          <w:color w:val="auto"/>
          <w:sz w:val="21"/>
          <w:szCs w:val="21"/>
        </w:rPr>
        <w:t>) nie zauważyło</w:t>
      </w:r>
      <w:r w:rsidRPr="0060337F" w:rsidDel="0060337F">
        <w:rPr>
          <w:rFonts w:ascii="Cambria" w:hAnsi="Cambria" w:cs="Times New Roman"/>
          <w:color w:val="auto"/>
          <w:sz w:val="21"/>
          <w:szCs w:val="21"/>
        </w:rPr>
        <w:t xml:space="preserve"> </w:t>
      </w:r>
      <w:r w:rsidR="00AC6C0B" w:rsidRPr="00AC6C0B">
        <w:rPr>
          <w:rFonts w:ascii="Cambria" w:hAnsi="Cambria" w:cs="Times New Roman"/>
          <w:color w:val="auto"/>
          <w:sz w:val="21"/>
          <w:szCs w:val="21"/>
        </w:rPr>
        <w:t>istotnych zmian, a 7 proc. wskazało na spadek</w:t>
      </w:r>
      <w:r>
        <w:rPr>
          <w:rFonts w:ascii="Cambria" w:hAnsi="Cambria" w:cs="Times New Roman"/>
          <w:color w:val="auto"/>
          <w:sz w:val="21"/>
          <w:szCs w:val="21"/>
        </w:rPr>
        <w:t xml:space="preserve"> liczby nadużyć</w:t>
      </w:r>
      <w:r w:rsidR="00AC6C0B" w:rsidRPr="00AC6C0B">
        <w:rPr>
          <w:rFonts w:ascii="Cambria" w:hAnsi="Cambria" w:cs="Times New Roman"/>
          <w:color w:val="auto"/>
          <w:sz w:val="21"/>
          <w:szCs w:val="21"/>
        </w:rPr>
        <w:t>.</w:t>
      </w:r>
    </w:p>
    <w:p w14:paraId="1E8FC44E" w14:textId="0C070E2A" w:rsidR="00AC6C0B" w:rsidRPr="00AC6C0B" w:rsidRDefault="00641251" w:rsidP="00AC6C0B">
      <w:pPr>
        <w:spacing w:before="100" w:beforeAutospacing="1" w:after="100" w:afterAutospacing="1"/>
        <w:jc w:val="both"/>
        <w:rPr>
          <w:rFonts w:ascii="Cambria" w:hAnsi="Cambria" w:cs="Times New Roman"/>
          <w:color w:val="auto"/>
          <w:sz w:val="21"/>
          <w:szCs w:val="21"/>
        </w:rPr>
      </w:pPr>
      <w:r w:rsidRPr="00641251">
        <w:rPr>
          <w:rFonts w:ascii="Cambria" w:hAnsi="Cambria" w:cs="Times New Roman"/>
          <w:color w:val="auto"/>
          <w:sz w:val="21"/>
          <w:szCs w:val="21"/>
        </w:rPr>
        <w:t xml:space="preserve">Stabilizacja nie oznacza jednak, że problem ma marginalną skalę. </w:t>
      </w:r>
      <w:r>
        <w:rPr>
          <w:rFonts w:ascii="Cambria" w:hAnsi="Cambria" w:cs="Times New Roman"/>
          <w:color w:val="auto"/>
          <w:sz w:val="21"/>
          <w:szCs w:val="21"/>
        </w:rPr>
        <w:t>Choć w</w:t>
      </w:r>
      <w:r w:rsidR="00AC6C0B" w:rsidRPr="00AC6C0B">
        <w:rPr>
          <w:rFonts w:ascii="Cambria" w:hAnsi="Cambria" w:cs="Times New Roman"/>
          <w:color w:val="auto"/>
          <w:sz w:val="21"/>
          <w:szCs w:val="21"/>
        </w:rPr>
        <w:t xml:space="preserve"> 59 proc. instytucji liczba</w:t>
      </w:r>
      <w:r>
        <w:rPr>
          <w:rFonts w:ascii="Cambria" w:hAnsi="Cambria" w:cs="Times New Roman"/>
          <w:color w:val="auto"/>
          <w:sz w:val="21"/>
          <w:szCs w:val="21"/>
        </w:rPr>
        <w:t xml:space="preserve"> nadużyć</w:t>
      </w:r>
      <w:r w:rsidR="00AC6C0B" w:rsidRPr="00AC6C0B">
        <w:rPr>
          <w:rFonts w:ascii="Cambria" w:hAnsi="Cambria" w:cs="Times New Roman"/>
          <w:color w:val="auto"/>
          <w:sz w:val="21"/>
          <w:szCs w:val="21"/>
        </w:rPr>
        <w:t xml:space="preserve"> nie przekroczyła tysiąca rocznie</w:t>
      </w:r>
      <w:r>
        <w:rPr>
          <w:rFonts w:ascii="Cambria" w:hAnsi="Cambria" w:cs="Times New Roman"/>
          <w:color w:val="auto"/>
          <w:sz w:val="21"/>
          <w:szCs w:val="21"/>
        </w:rPr>
        <w:t>, n</w:t>
      </w:r>
      <w:r w:rsidR="00AC6C0B" w:rsidRPr="00AC6C0B">
        <w:rPr>
          <w:rFonts w:ascii="Cambria" w:hAnsi="Cambria" w:cs="Times New Roman"/>
          <w:color w:val="auto"/>
          <w:sz w:val="21"/>
          <w:szCs w:val="21"/>
        </w:rPr>
        <w:t xml:space="preserve">iemal co szósta </w:t>
      </w:r>
      <w:r>
        <w:rPr>
          <w:rFonts w:ascii="Cambria" w:hAnsi="Cambria" w:cs="Times New Roman"/>
          <w:color w:val="auto"/>
          <w:sz w:val="21"/>
          <w:szCs w:val="21"/>
        </w:rPr>
        <w:t xml:space="preserve">(17 proc.) </w:t>
      </w:r>
      <w:r w:rsidR="00AC6C0B" w:rsidRPr="00AC6C0B">
        <w:rPr>
          <w:rFonts w:ascii="Cambria" w:hAnsi="Cambria" w:cs="Times New Roman"/>
          <w:color w:val="auto"/>
          <w:sz w:val="21"/>
          <w:szCs w:val="21"/>
        </w:rPr>
        <w:t>organizacja</w:t>
      </w:r>
      <w:r>
        <w:rPr>
          <w:rFonts w:ascii="Cambria" w:hAnsi="Cambria" w:cs="Times New Roman"/>
          <w:color w:val="auto"/>
          <w:sz w:val="21"/>
          <w:szCs w:val="21"/>
        </w:rPr>
        <w:t xml:space="preserve"> </w:t>
      </w:r>
      <w:r w:rsidR="00AC6C0B" w:rsidRPr="00AC6C0B">
        <w:rPr>
          <w:rFonts w:ascii="Cambria" w:hAnsi="Cambria" w:cs="Times New Roman"/>
          <w:color w:val="auto"/>
          <w:sz w:val="21"/>
          <w:szCs w:val="21"/>
        </w:rPr>
        <w:t>odnotowała ponad 10 tys. prób.</w:t>
      </w:r>
      <w:r>
        <w:rPr>
          <w:rFonts w:ascii="Cambria" w:hAnsi="Cambria" w:cs="Times New Roman"/>
          <w:color w:val="auto"/>
          <w:sz w:val="21"/>
          <w:szCs w:val="21"/>
        </w:rPr>
        <w:t xml:space="preserve"> </w:t>
      </w:r>
      <w:r w:rsidRPr="00AC6C0B">
        <w:rPr>
          <w:rFonts w:ascii="Cambria" w:hAnsi="Cambria" w:cs="Times New Roman"/>
          <w:color w:val="auto"/>
          <w:sz w:val="21"/>
          <w:szCs w:val="21"/>
        </w:rPr>
        <w:t>Skala identyfikowanych nadużyć jest</w:t>
      </w:r>
      <w:r>
        <w:rPr>
          <w:rFonts w:ascii="Cambria" w:hAnsi="Cambria" w:cs="Times New Roman"/>
          <w:color w:val="auto"/>
          <w:sz w:val="21"/>
          <w:szCs w:val="21"/>
        </w:rPr>
        <w:t xml:space="preserve"> więc</w:t>
      </w:r>
      <w:r w:rsidRPr="00AC6C0B">
        <w:rPr>
          <w:rFonts w:ascii="Cambria" w:hAnsi="Cambria" w:cs="Times New Roman"/>
          <w:color w:val="auto"/>
          <w:sz w:val="21"/>
          <w:szCs w:val="21"/>
        </w:rPr>
        <w:t xml:space="preserve"> zróżnicowana.</w:t>
      </w:r>
    </w:p>
    <w:p w14:paraId="7675AE52" w14:textId="69EEA6C6" w:rsidR="009A48E4" w:rsidRPr="00AC6C0B" w:rsidRDefault="009A48E4" w:rsidP="00AC6C0B">
      <w:pPr>
        <w:spacing w:before="100" w:beforeAutospacing="1" w:after="100" w:afterAutospacing="1"/>
        <w:jc w:val="both"/>
        <w:rPr>
          <w:rFonts w:ascii="Cambria" w:hAnsi="Cambria" w:cs="Times New Roman"/>
          <w:color w:val="auto"/>
          <w:sz w:val="21"/>
          <w:szCs w:val="21"/>
        </w:rPr>
      </w:pPr>
      <w:r>
        <w:rPr>
          <w:rFonts w:ascii="Cambria" w:hAnsi="Cambria" w:cs="Times New Roman"/>
          <w:noProof/>
          <w:color w:val="auto"/>
          <w:sz w:val="21"/>
          <w:szCs w:val="21"/>
          <w14:ligatures w14:val="standardContextual"/>
        </w:rPr>
        <w:drawing>
          <wp:inline distT="0" distB="0" distL="0" distR="0" wp14:anchorId="0380F078" wp14:editId="68E93FCE">
            <wp:extent cx="6027420" cy="3917823"/>
            <wp:effectExtent l="0" t="0" r="0" b="6985"/>
            <wp:docPr id="12930405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40573" name="Obraz 1293040573"/>
                    <pic:cNvPicPr/>
                  </pic:nvPicPr>
                  <pic:blipFill>
                    <a:blip r:embed="rId7">
                      <a:extLst>
                        <a:ext uri="{28A0092B-C50C-407E-A947-70E740481C1C}">
                          <a14:useLocalDpi xmlns:a14="http://schemas.microsoft.com/office/drawing/2010/main" val="0"/>
                        </a:ext>
                      </a:extLst>
                    </a:blip>
                    <a:stretch>
                      <a:fillRect/>
                    </a:stretch>
                  </pic:blipFill>
                  <pic:spPr>
                    <a:xfrm>
                      <a:off x="0" y="0"/>
                      <a:ext cx="6038358" cy="3924933"/>
                    </a:xfrm>
                    <a:prstGeom prst="rect">
                      <a:avLst/>
                    </a:prstGeom>
                  </pic:spPr>
                </pic:pic>
              </a:graphicData>
            </a:graphic>
          </wp:inline>
        </w:drawing>
      </w:r>
    </w:p>
    <w:p w14:paraId="72909E3D" w14:textId="49106591"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 xml:space="preserve">– </w:t>
      </w:r>
      <w:r w:rsidR="00641251" w:rsidRPr="00641251">
        <w:rPr>
          <w:rFonts w:ascii="Cambria" w:hAnsi="Cambria" w:cs="Times New Roman"/>
          <w:color w:val="auto"/>
          <w:sz w:val="21"/>
          <w:szCs w:val="21"/>
        </w:rPr>
        <w:t>Spadek odsetka instytucji obserwujących wzrost intensywności nadużyć może być pozytywnym sygnałem, ale nie oznacza, że problem traci na znaczeniu.</w:t>
      </w:r>
      <w:r w:rsidR="00641251">
        <w:rPr>
          <w:rFonts w:ascii="Cambria" w:hAnsi="Cambria" w:cs="Times New Roman"/>
          <w:color w:val="auto"/>
          <w:sz w:val="21"/>
          <w:szCs w:val="21"/>
        </w:rPr>
        <w:t xml:space="preserve"> </w:t>
      </w:r>
      <w:r w:rsidRPr="00AC6C0B">
        <w:rPr>
          <w:rFonts w:ascii="Cambria" w:hAnsi="Cambria" w:cs="Times New Roman"/>
          <w:color w:val="auto"/>
          <w:sz w:val="21"/>
          <w:szCs w:val="21"/>
        </w:rPr>
        <w:t xml:space="preserve">Zmieniają się narzędzia wykorzystywane przez sprawców, ale podstawowe mechanizmy oszustw pozostają podobne. </w:t>
      </w:r>
      <w:r w:rsidR="00641251" w:rsidRPr="00641251">
        <w:rPr>
          <w:rFonts w:ascii="Cambria" w:hAnsi="Cambria" w:cs="Times New Roman"/>
          <w:color w:val="auto"/>
          <w:sz w:val="21"/>
          <w:szCs w:val="21"/>
        </w:rPr>
        <w:t>Coraz większą rolę odgrywa przede wszystkim skuteczna manipulacja klientem.</w:t>
      </w:r>
      <w:r w:rsidR="00641251">
        <w:rPr>
          <w:rFonts w:ascii="Cambria" w:hAnsi="Cambria" w:cs="Times New Roman"/>
          <w:color w:val="auto"/>
          <w:sz w:val="21"/>
          <w:szCs w:val="21"/>
        </w:rPr>
        <w:t xml:space="preserve"> </w:t>
      </w:r>
      <w:r w:rsidR="00641251" w:rsidRPr="00641251">
        <w:rPr>
          <w:rFonts w:ascii="Cambria" w:hAnsi="Cambria" w:cs="Times New Roman"/>
          <w:color w:val="auto"/>
          <w:sz w:val="21"/>
          <w:szCs w:val="21"/>
        </w:rPr>
        <w:t xml:space="preserve">Dlatego przeciwdziałanie nadużyciom </w:t>
      </w:r>
      <w:r w:rsidR="00641251" w:rsidRPr="00641251">
        <w:rPr>
          <w:rFonts w:ascii="Cambria" w:hAnsi="Cambria" w:cs="Times New Roman"/>
          <w:color w:val="auto"/>
          <w:sz w:val="21"/>
          <w:szCs w:val="21"/>
        </w:rPr>
        <w:lastRenderedPageBreak/>
        <w:t>powinno obejmować nie tylko rozwój technologii, lecz również zwiększanie odporności klientów na nowe scenariusze oszustw</w:t>
      </w:r>
      <w:r w:rsidR="00641251">
        <w:rPr>
          <w:rFonts w:ascii="Cambria" w:hAnsi="Cambria" w:cs="Times New Roman"/>
          <w:color w:val="auto"/>
          <w:sz w:val="21"/>
          <w:szCs w:val="21"/>
        </w:rPr>
        <w:t xml:space="preserve"> </w:t>
      </w:r>
      <w:r w:rsidRPr="00AC6C0B">
        <w:rPr>
          <w:rFonts w:ascii="Cambria" w:hAnsi="Cambria" w:cs="Times New Roman"/>
          <w:color w:val="auto"/>
          <w:sz w:val="21"/>
          <w:szCs w:val="21"/>
        </w:rPr>
        <w:t xml:space="preserve">– mówi Mariusz Witalis, partner w EY Polska, lider Działu Zarządzania Ryzykiem Nadużyć w </w:t>
      </w:r>
      <w:r w:rsidR="00DC68E4">
        <w:rPr>
          <w:rFonts w:ascii="Cambria" w:hAnsi="Cambria" w:cs="Times New Roman"/>
          <w:color w:val="auto"/>
          <w:sz w:val="21"/>
          <w:szCs w:val="21"/>
        </w:rPr>
        <w:t>regionie Europe Central</w:t>
      </w:r>
      <w:r w:rsidRPr="00AC6C0B">
        <w:rPr>
          <w:rFonts w:ascii="Cambria" w:hAnsi="Cambria" w:cs="Times New Roman"/>
          <w:color w:val="auto"/>
          <w:sz w:val="21"/>
          <w:szCs w:val="21"/>
        </w:rPr>
        <w:t>.</w:t>
      </w:r>
    </w:p>
    <w:p w14:paraId="31137336"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Klient na celowniku</w:t>
      </w:r>
    </w:p>
    <w:p w14:paraId="3CBDC86C" w14:textId="5AF1BB44" w:rsidR="00AC6C0B" w:rsidRPr="009A48E4" w:rsidRDefault="00B1775F" w:rsidP="00AC6C0B">
      <w:pPr>
        <w:spacing w:before="100" w:beforeAutospacing="1" w:after="100" w:afterAutospacing="1"/>
        <w:jc w:val="both"/>
        <w:rPr>
          <w:rFonts w:ascii="Cambria" w:hAnsi="Cambria" w:cs="Times New Roman"/>
          <w:color w:val="auto"/>
          <w:sz w:val="21"/>
          <w:szCs w:val="21"/>
        </w:rPr>
      </w:pPr>
      <w:r>
        <w:rPr>
          <w:rFonts w:ascii="Cambria" w:hAnsi="Cambria"/>
          <w:color w:val="auto"/>
          <w:sz w:val="21"/>
          <w:szCs w:val="21"/>
        </w:rPr>
        <w:t xml:space="preserve">Aby wyłudzić pieniądze, sprawcy nie muszą przełamywać zabezpieczeń instytucji finansowych – mogą nakłonić klienta, by sam zatwierdził transakcję. Nic więc dziwnego, że </w:t>
      </w:r>
      <w:r>
        <w:rPr>
          <w:rFonts w:ascii="Cambria" w:hAnsi="Cambria" w:cs="Times New Roman"/>
          <w:color w:val="auto"/>
          <w:sz w:val="21"/>
          <w:szCs w:val="21"/>
        </w:rPr>
        <w:t>n</w:t>
      </w:r>
      <w:r w:rsidR="00FF138F" w:rsidRPr="00AC6C0B">
        <w:rPr>
          <w:rFonts w:ascii="Cambria" w:hAnsi="Cambria" w:cs="Times New Roman"/>
          <w:color w:val="auto"/>
          <w:sz w:val="21"/>
          <w:szCs w:val="21"/>
        </w:rPr>
        <w:t xml:space="preserve">ajwiększym zagrożeniem na najbliższe dwa lata pozostaje socjotechnika, oceniona przez respondentów na 4,23 w pięciostopniowej skali. Kolejne miejsca zajęły wykorzystanie AI do generowania nadużyć (3,96), tworzenie syntetycznych tożsamości (3,78) oraz technologia </w:t>
      </w:r>
      <w:proofErr w:type="spellStart"/>
      <w:r w:rsidR="00FF138F" w:rsidRPr="00AC6C0B">
        <w:rPr>
          <w:rFonts w:ascii="Cambria" w:hAnsi="Cambria" w:cs="Times New Roman"/>
          <w:color w:val="auto"/>
          <w:sz w:val="21"/>
          <w:szCs w:val="21"/>
        </w:rPr>
        <w:t>deepfake</w:t>
      </w:r>
      <w:proofErr w:type="spellEnd"/>
      <w:r w:rsidR="00FF138F" w:rsidRPr="00AC6C0B">
        <w:rPr>
          <w:rFonts w:ascii="Cambria" w:hAnsi="Cambria" w:cs="Times New Roman"/>
          <w:color w:val="auto"/>
          <w:sz w:val="21"/>
          <w:szCs w:val="21"/>
        </w:rPr>
        <w:t xml:space="preserve"> w zdalnych kanałach kontaktu (3,56).</w:t>
      </w:r>
    </w:p>
    <w:p w14:paraId="0F77ABDC" w14:textId="54DC41A4" w:rsidR="009A48E4" w:rsidRPr="00AC6C0B" w:rsidRDefault="009A48E4" w:rsidP="00AC6C0B">
      <w:pPr>
        <w:spacing w:before="100" w:beforeAutospacing="1" w:after="100" w:afterAutospacing="1"/>
        <w:jc w:val="both"/>
        <w:rPr>
          <w:rFonts w:ascii="Cambria" w:hAnsi="Cambria" w:cs="Times New Roman"/>
          <w:color w:val="auto"/>
          <w:sz w:val="21"/>
          <w:szCs w:val="21"/>
        </w:rPr>
      </w:pPr>
      <w:r>
        <w:rPr>
          <w:rFonts w:ascii="Cambria" w:hAnsi="Cambria" w:cs="Times New Roman"/>
          <w:noProof/>
          <w:color w:val="auto"/>
          <w:sz w:val="21"/>
          <w:szCs w:val="21"/>
          <w14:ligatures w14:val="standardContextual"/>
        </w:rPr>
        <w:drawing>
          <wp:inline distT="0" distB="0" distL="0" distR="0" wp14:anchorId="20CF0D1E" wp14:editId="2C62DD2C">
            <wp:extent cx="6088380" cy="3500820"/>
            <wp:effectExtent l="0" t="0" r="7620" b="4445"/>
            <wp:docPr id="142713621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36219" name="Obraz 1427136219"/>
                    <pic:cNvPicPr/>
                  </pic:nvPicPr>
                  <pic:blipFill>
                    <a:blip r:embed="rId8">
                      <a:extLst>
                        <a:ext uri="{28A0092B-C50C-407E-A947-70E740481C1C}">
                          <a14:useLocalDpi xmlns:a14="http://schemas.microsoft.com/office/drawing/2010/main" val="0"/>
                        </a:ext>
                      </a:extLst>
                    </a:blip>
                    <a:stretch>
                      <a:fillRect/>
                    </a:stretch>
                  </pic:blipFill>
                  <pic:spPr>
                    <a:xfrm>
                      <a:off x="0" y="0"/>
                      <a:ext cx="6102690" cy="3509048"/>
                    </a:xfrm>
                    <a:prstGeom prst="rect">
                      <a:avLst/>
                    </a:prstGeom>
                  </pic:spPr>
                </pic:pic>
              </a:graphicData>
            </a:graphic>
          </wp:inline>
        </w:drawing>
      </w:r>
    </w:p>
    <w:p w14:paraId="57BE9C8B" w14:textId="77777777"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 xml:space="preserve">Wśród wskazywanych schematów nadużyć znalazły się oszustwa inwestycyjne, </w:t>
      </w:r>
      <w:proofErr w:type="spellStart"/>
      <w:r w:rsidRPr="00AC6C0B">
        <w:rPr>
          <w:rFonts w:ascii="Cambria" w:hAnsi="Cambria" w:cs="Times New Roman"/>
          <w:color w:val="auto"/>
          <w:sz w:val="21"/>
          <w:szCs w:val="21"/>
        </w:rPr>
        <w:t>phishing</w:t>
      </w:r>
      <w:proofErr w:type="spellEnd"/>
      <w:r w:rsidRPr="00AC6C0B">
        <w:rPr>
          <w:rFonts w:ascii="Cambria" w:hAnsi="Cambria" w:cs="Times New Roman"/>
          <w:color w:val="auto"/>
          <w:sz w:val="21"/>
          <w:szCs w:val="21"/>
        </w:rPr>
        <w:t xml:space="preserve"> i </w:t>
      </w:r>
      <w:proofErr w:type="spellStart"/>
      <w:r w:rsidRPr="00AC6C0B">
        <w:rPr>
          <w:rFonts w:ascii="Cambria" w:hAnsi="Cambria" w:cs="Times New Roman"/>
          <w:color w:val="auto"/>
          <w:sz w:val="21"/>
          <w:szCs w:val="21"/>
        </w:rPr>
        <w:t>vishing</w:t>
      </w:r>
      <w:proofErr w:type="spellEnd"/>
      <w:r w:rsidRPr="00AC6C0B">
        <w:rPr>
          <w:rFonts w:ascii="Cambria" w:hAnsi="Cambria" w:cs="Times New Roman"/>
          <w:color w:val="auto"/>
          <w:sz w:val="21"/>
          <w:szCs w:val="21"/>
        </w:rPr>
        <w:t>, przejmowanie tożsamości, nakłanianie klientów do zaciągania zobowiązań, wykorzystywanie ich jako tzw. słupów oraz podszywanie się pod zaufane instytucje.</w:t>
      </w:r>
    </w:p>
    <w:p w14:paraId="46885B02" w14:textId="77777777"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 Klient może sam wykonać czynność, do której nakłonił go oszust. Transakcja zostaje zatwierdzona, choć decyzja zapadła pod wpływem manipulacji. Dlatego ochrona nie może ograniczać się do zabezpieczania systemów. Równie istotne jest pomaganie klientom w rozpoznawaniu prób oszustwa, zanim stracą pieniądze lub zaciągną zobowiązanie – podkreśla Marcin Czugan, prezes ZPF.</w:t>
      </w:r>
    </w:p>
    <w:p w14:paraId="781845BF"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Sztuczna inteligencja po obu stronach barykady</w:t>
      </w:r>
    </w:p>
    <w:p w14:paraId="5638B16A" w14:textId="1CA4CF90" w:rsidR="00FF138F" w:rsidRPr="00AC6C0B" w:rsidRDefault="00EF2FA8" w:rsidP="00AC6C0B">
      <w:pPr>
        <w:spacing w:before="100" w:beforeAutospacing="1" w:after="100" w:afterAutospacing="1"/>
        <w:jc w:val="both"/>
        <w:rPr>
          <w:rFonts w:ascii="Cambria" w:hAnsi="Cambria" w:cs="Times New Roman"/>
          <w:color w:val="auto"/>
          <w:sz w:val="21"/>
          <w:szCs w:val="21"/>
        </w:rPr>
      </w:pPr>
      <w:r>
        <w:rPr>
          <w:rFonts w:ascii="Cambria" w:hAnsi="Cambria"/>
          <w:color w:val="auto"/>
          <w:sz w:val="21"/>
          <w:szCs w:val="21"/>
        </w:rPr>
        <w:t xml:space="preserve">Sztuczna inteligencja może wspierać wykrywanie nadużyć, jednak nie wszystkie instytucje finansowe </w:t>
      </w:r>
      <w:r w:rsidR="001D4704">
        <w:rPr>
          <w:rFonts w:ascii="Cambria" w:hAnsi="Cambria"/>
          <w:color w:val="auto"/>
          <w:sz w:val="21"/>
          <w:szCs w:val="21"/>
        </w:rPr>
        <w:t>czerpią</w:t>
      </w:r>
      <w:r>
        <w:rPr>
          <w:rFonts w:ascii="Cambria" w:hAnsi="Cambria"/>
          <w:color w:val="auto"/>
          <w:sz w:val="21"/>
          <w:szCs w:val="21"/>
        </w:rPr>
        <w:t xml:space="preserve"> już z jej możliwości. </w:t>
      </w:r>
      <w:r w:rsidR="00FF138F" w:rsidRPr="00AC6C0B">
        <w:rPr>
          <w:rFonts w:ascii="Cambria" w:hAnsi="Cambria" w:cs="Times New Roman"/>
          <w:color w:val="auto"/>
          <w:sz w:val="21"/>
          <w:szCs w:val="21"/>
        </w:rPr>
        <w:t>W badaniu</w:t>
      </w:r>
      <w:r w:rsidR="001D4704">
        <w:rPr>
          <w:rFonts w:ascii="Cambria" w:hAnsi="Cambria" w:cs="Times New Roman"/>
          <w:color w:val="auto"/>
          <w:sz w:val="21"/>
          <w:szCs w:val="21"/>
        </w:rPr>
        <w:t xml:space="preserve"> niemal połowa</w:t>
      </w:r>
      <w:r w:rsidR="00FF138F" w:rsidRPr="00AC6C0B">
        <w:rPr>
          <w:rFonts w:ascii="Cambria" w:hAnsi="Cambria" w:cs="Times New Roman"/>
          <w:color w:val="auto"/>
          <w:sz w:val="21"/>
          <w:szCs w:val="21"/>
        </w:rPr>
        <w:t xml:space="preserve"> </w:t>
      </w:r>
      <w:r w:rsidR="001D4704">
        <w:rPr>
          <w:rFonts w:ascii="Cambria" w:hAnsi="Cambria" w:cs="Times New Roman"/>
          <w:color w:val="auto"/>
          <w:sz w:val="21"/>
          <w:szCs w:val="21"/>
        </w:rPr>
        <w:t>(</w:t>
      </w:r>
      <w:r w:rsidR="00FF138F" w:rsidRPr="00AC6C0B">
        <w:rPr>
          <w:rFonts w:ascii="Cambria" w:hAnsi="Cambria" w:cs="Times New Roman"/>
          <w:color w:val="auto"/>
          <w:sz w:val="21"/>
          <w:szCs w:val="21"/>
        </w:rPr>
        <w:t>41 proc.</w:t>
      </w:r>
      <w:r w:rsidR="001D4704">
        <w:rPr>
          <w:rFonts w:ascii="Cambria" w:hAnsi="Cambria" w:cs="Times New Roman"/>
          <w:color w:val="auto"/>
          <w:sz w:val="21"/>
          <w:szCs w:val="21"/>
        </w:rPr>
        <w:t>)</w:t>
      </w:r>
      <w:r w:rsidR="00FF138F" w:rsidRPr="00AC6C0B">
        <w:rPr>
          <w:rFonts w:ascii="Cambria" w:hAnsi="Cambria" w:cs="Times New Roman"/>
          <w:color w:val="auto"/>
          <w:sz w:val="21"/>
          <w:szCs w:val="21"/>
        </w:rPr>
        <w:t xml:space="preserve"> respondentów </w:t>
      </w:r>
      <w:r w:rsidR="001D4704" w:rsidRPr="00AC6C0B">
        <w:rPr>
          <w:rFonts w:ascii="Cambria" w:hAnsi="Cambria" w:cs="Times New Roman"/>
          <w:color w:val="auto"/>
          <w:sz w:val="21"/>
          <w:szCs w:val="21"/>
        </w:rPr>
        <w:t>wskazał</w:t>
      </w:r>
      <w:r w:rsidR="001D4704">
        <w:rPr>
          <w:rFonts w:ascii="Cambria" w:hAnsi="Cambria" w:cs="Times New Roman"/>
          <w:color w:val="auto"/>
          <w:sz w:val="21"/>
          <w:szCs w:val="21"/>
        </w:rPr>
        <w:t>a</w:t>
      </w:r>
      <w:r w:rsidR="00FF138F" w:rsidRPr="00AC6C0B">
        <w:rPr>
          <w:rFonts w:ascii="Cambria" w:hAnsi="Cambria" w:cs="Times New Roman"/>
          <w:color w:val="auto"/>
          <w:sz w:val="21"/>
          <w:szCs w:val="21"/>
        </w:rPr>
        <w:t xml:space="preserve">, że ich </w:t>
      </w:r>
      <w:r>
        <w:rPr>
          <w:rFonts w:ascii="Cambria" w:hAnsi="Cambria" w:cs="Times New Roman"/>
          <w:color w:val="auto"/>
          <w:sz w:val="21"/>
          <w:szCs w:val="21"/>
        </w:rPr>
        <w:t>organizacje</w:t>
      </w:r>
      <w:r w:rsidRPr="00AC6C0B">
        <w:rPr>
          <w:rFonts w:ascii="Cambria" w:hAnsi="Cambria" w:cs="Times New Roman"/>
          <w:color w:val="auto"/>
          <w:sz w:val="21"/>
          <w:szCs w:val="21"/>
        </w:rPr>
        <w:t xml:space="preserve"> </w:t>
      </w:r>
      <w:r w:rsidR="00FF138F" w:rsidRPr="00AC6C0B">
        <w:rPr>
          <w:rFonts w:ascii="Cambria" w:hAnsi="Cambria" w:cs="Times New Roman"/>
          <w:color w:val="auto"/>
          <w:sz w:val="21"/>
          <w:szCs w:val="21"/>
        </w:rPr>
        <w:t xml:space="preserve">nie wykorzystują jeszcze </w:t>
      </w:r>
      <w:r>
        <w:rPr>
          <w:rFonts w:ascii="Cambria" w:hAnsi="Cambria" w:cs="Times New Roman"/>
          <w:color w:val="auto"/>
          <w:sz w:val="21"/>
          <w:szCs w:val="21"/>
        </w:rPr>
        <w:t>tego narzędzia</w:t>
      </w:r>
      <w:r w:rsidRPr="00AC6C0B">
        <w:rPr>
          <w:rFonts w:ascii="Cambria" w:hAnsi="Cambria" w:cs="Times New Roman"/>
          <w:color w:val="auto"/>
          <w:sz w:val="21"/>
          <w:szCs w:val="21"/>
        </w:rPr>
        <w:t xml:space="preserve"> </w:t>
      </w:r>
      <w:r w:rsidR="00FF138F" w:rsidRPr="00AC6C0B">
        <w:rPr>
          <w:rFonts w:ascii="Cambria" w:hAnsi="Cambria" w:cs="Times New Roman"/>
          <w:color w:val="auto"/>
          <w:sz w:val="21"/>
          <w:szCs w:val="21"/>
        </w:rPr>
        <w:t xml:space="preserve">do analizy aktywności klientów, choć rozwiązanie to mogłoby pomóc w wykrywaniu nadużyć. Podobnej odpowiedzi w odniesieniu do analizy behawioralnej udzieliło 17 proc. badanych, a do </w:t>
      </w:r>
      <w:proofErr w:type="spellStart"/>
      <w:r w:rsidR="00FF138F" w:rsidRPr="00AC6C0B">
        <w:rPr>
          <w:rFonts w:ascii="Cambria" w:hAnsi="Cambria" w:cs="Times New Roman"/>
          <w:color w:val="auto"/>
          <w:sz w:val="21"/>
          <w:szCs w:val="21"/>
        </w:rPr>
        <w:t>digital</w:t>
      </w:r>
      <w:proofErr w:type="spellEnd"/>
      <w:r w:rsidR="00FF138F" w:rsidRPr="00AC6C0B">
        <w:rPr>
          <w:rFonts w:ascii="Cambria" w:hAnsi="Cambria" w:cs="Times New Roman"/>
          <w:color w:val="auto"/>
          <w:sz w:val="21"/>
          <w:szCs w:val="21"/>
        </w:rPr>
        <w:t xml:space="preserve"> </w:t>
      </w:r>
      <w:proofErr w:type="spellStart"/>
      <w:r w:rsidR="00FF138F" w:rsidRPr="00AC6C0B">
        <w:rPr>
          <w:rFonts w:ascii="Cambria" w:hAnsi="Cambria" w:cs="Times New Roman"/>
          <w:color w:val="auto"/>
          <w:sz w:val="21"/>
          <w:szCs w:val="21"/>
        </w:rPr>
        <w:t>fingerprintingu</w:t>
      </w:r>
      <w:proofErr w:type="spellEnd"/>
      <w:r w:rsidR="00FF138F" w:rsidRPr="00AC6C0B">
        <w:rPr>
          <w:rFonts w:ascii="Cambria" w:hAnsi="Cambria" w:cs="Times New Roman"/>
          <w:color w:val="auto"/>
          <w:sz w:val="21"/>
          <w:szCs w:val="21"/>
        </w:rPr>
        <w:t xml:space="preserve"> – 10 proc.</w:t>
      </w:r>
    </w:p>
    <w:p w14:paraId="57FB0141" w14:textId="5D644FB0"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lastRenderedPageBreak/>
        <w:t xml:space="preserve">– Sztuczna inteligencja stwarza nowe możliwości zarówno sprawcom, jak i instytucjom finansowym. Szczególne obawy budzą syntetyczne tożsamości i materiały </w:t>
      </w:r>
      <w:proofErr w:type="spellStart"/>
      <w:r w:rsidRPr="00AC6C0B">
        <w:rPr>
          <w:rFonts w:ascii="Cambria" w:hAnsi="Cambria" w:cs="Times New Roman"/>
          <w:color w:val="auto"/>
          <w:sz w:val="21"/>
          <w:szCs w:val="21"/>
        </w:rPr>
        <w:t>deepfake</w:t>
      </w:r>
      <w:proofErr w:type="spellEnd"/>
      <w:r w:rsidRPr="00AC6C0B">
        <w:rPr>
          <w:rFonts w:ascii="Cambria" w:hAnsi="Cambria" w:cs="Times New Roman"/>
          <w:color w:val="auto"/>
          <w:sz w:val="21"/>
          <w:szCs w:val="21"/>
        </w:rPr>
        <w:t>. Jednocześnie AI może zwiększać skuteczność wykrywania zagrożeń. Wyniki badania pokazują, że część instytucji dostrzega ten potencjał, ale jeszcze z niego nie korzysta</w:t>
      </w:r>
      <w:r w:rsidR="00EF2FA8">
        <w:rPr>
          <w:rFonts w:ascii="Cambria" w:hAnsi="Cambria" w:cs="Times New Roman"/>
          <w:color w:val="auto"/>
          <w:sz w:val="21"/>
          <w:szCs w:val="21"/>
        </w:rPr>
        <w:t xml:space="preserve">. </w:t>
      </w:r>
      <w:r w:rsidR="00EF2FA8" w:rsidRPr="00DB507A">
        <w:rPr>
          <w:rFonts w:ascii="Cambria" w:hAnsi="Cambria" w:cs="Times New Roman"/>
          <w:color w:val="auto"/>
          <w:sz w:val="21"/>
          <w:szCs w:val="21"/>
        </w:rPr>
        <w:t>W kolejnych latach istotne będzie więc przechodzenie od reaktywnego wykrywania nadużyć w kierunku rozwiązań pozwalających identyfikować ryzyko jeszcze przed wystąpieniem szkody</w:t>
      </w:r>
      <w:r w:rsidRPr="00AC6C0B">
        <w:rPr>
          <w:rFonts w:ascii="Cambria" w:hAnsi="Cambria" w:cs="Times New Roman"/>
          <w:color w:val="auto"/>
          <w:sz w:val="21"/>
          <w:szCs w:val="21"/>
        </w:rPr>
        <w:t xml:space="preserve"> – mówi Katarzyna Łukasik-Gogol, menedżer w Dziale Zarządzania Ryzykiem Nadużyć EY Polska.</w:t>
      </w:r>
    </w:p>
    <w:p w14:paraId="536BFAF8"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Brakuje zasobów, przeszkadzają regulacje</w:t>
      </w:r>
    </w:p>
    <w:p w14:paraId="7087EC8F" w14:textId="690A0DC6" w:rsidR="00AC6C0B" w:rsidRPr="00AC6C0B" w:rsidRDefault="00EF2FA8" w:rsidP="00AC6C0B">
      <w:pPr>
        <w:spacing w:before="100" w:beforeAutospacing="1" w:after="100" w:afterAutospacing="1"/>
        <w:jc w:val="both"/>
        <w:rPr>
          <w:rFonts w:ascii="Cambria" w:hAnsi="Cambria" w:cs="Times New Roman"/>
          <w:color w:val="auto"/>
          <w:sz w:val="21"/>
          <w:szCs w:val="21"/>
        </w:rPr>
      </w:pPr>
      <w:r w:rsidRPr="00EF2FA8">
        <w:rPr>
          <w:rFonts w:ascii="Cambria" w:hAnsi="Cambria" w:cs="Times New Roman"/>
          <w:color w:val="auto"/>
          <w:sz w:val="21"/>
          <w:szCs w:val="21"/>
        </w:rPr>
        <w:t xml:space="preserve">Technologia jest tylko jednym z elementów skutecznego przeciwdziałania nadużyciom. Istotnym ograniczeniem pozostają także uwarunkowania organizacyjne i </w:t>
      </w:r>
      <w:r>
        <w:rPr>
          <w:rFonts w:ascii="Cambria" w:hAnsi="Cambria" w:cs="Times New Roman"/>
          <w:color w:val="auto"/>
          <w:sz w:val="21"/>
          <w:szCs w:val="21"/>
        </w:rPr>
        <w:t>prawne</w:t>
      </w:r>
      <w:r w:rsidRPr="00EF2FA8">
        <w:rPr>
          <w:rFonts w:ascii="Cambria" w:hAnsi="Cambria" w:cs="Times New Roman"/>
          <w:color w:val="auto"/>
          <w:sz w:val="21"/>
          <w:szCs w:val="21"/>
        </w:rPr>
        <w:t>.</w:t>
      </w:r>
      <w:r>
        <w:rPr>
          <w:rFonts w:ascii="Cambria" w:hAnsi="Cambria" w:cs="Times New Roman"/>
          <w:color w:val="auto"/>
          <w:sz w:val="21"/>
          <w:szCs w:val="21"/>
        </w:rPr>
        <w:t xml:space="preserve"> </w:t>
      </w:r>
      <w:r w:rsidR="00AC6C0B" w:rsidRPr="00AC6C0B">
        <w:rPr>
          <w:rFonts w:ascii="Cambria" w:hAnsi="Cambria" w:cs="Times New Roman"/>
          <w:color w:val="auto"/>
          <w:sz w:val="21"/>
          <w:szCs w:val="21"/>
        </w:rPr>
        <w:t>Największymi barierami w przeciwdziałaniu nadużyciom są niedostateczne zasoby i nadmierne regulacje. Każdy z tych problemów wskazało 48 proc. respondentów.</w:t>
      </w:r>
    </w:p>
    <w:p w14:paraId="298B1C71" w14:textId="531AA369" w:rsidR="00AC6C0B" w:rsidRPr="00AC6C0B" w:rsidRDefault="001D4704" w:rsidP="00AC6C0B">
      <w:pPr>
        <w:spacing w:before="100" w:beforeAutospacing="1" w:after="100" w:afterAutospacing="1"/>
        <w:jc w:val="both"/>
        <w:rPr>
          <w:rFonts w:ascii="Cambria" w:hAnsi="Cambria" w:cs="Times New Roman"/>
          <w:color w:val="auto"/>
          <w:sz w:val="21"/>
          <w:szCs w:val="21"/>
        </w:rPr>
      </w:pPr>
      <w:r w:rsidRPr="001D4704">
        <w:rPr>
          <w:rFonts w:ascii="Cambria" w:hAnsi="Cambria" w:cs="Times New Roman"/>
          <w:color w:val="auto"/>
          <w:sz w:val="21"/>
          <w:szCs w:val="21"/>
        </w:rPr>
        <w:t>Lista wyzwań jest jednak znacznie szersza.</w:t>
      </w:r>
      <w:r>
        <w:rPr>
          <w:rFonts w:ascii="Cambria" w:hAnsi="Cambria" w:cs="Times New Roman"/>
          <w:color w:val="auto"/>
          <w:sz w:val="21"/>
          <w:szCs w:val="21"/>
        </w:rPr>
        <w:t xml:space="preserve"> </w:t>
      </w:r>
      <w:r w:rsidR="00AC6C0B" w:rsidRPr="00AC6C0B">
        <w:rPr>
          <w:rFonts w:ascii="Cambria" w:hAnsi="Cambria" w:cs="Times New Roman"/>
          <w:color w:val="auto"/>
          <w:sz w:val="21"/>
          <w:szCs w:val="21"/>
        </w:rPr>
        <w:t xml:space="preserve">Kolejne trudności to oczekiwania klientów dotyczące rekompensaty strat niezależnie od okoliczności (38 proc.), niezadowalająca jakość danych wykorzystywanych przez systemy </w:t>
      </w:r>
      <w:proofErr w:type="spellStart"/>
      <w:r w:rsidR="00AC6C0B" w:rsidRPr="00AC6C0B">
        <w:rPr>
          <w:rFonts w:ascii="Cambria" w:hAnsi="Cambria" w:cs="Times New Roman"/>
          <w:color w:val="auto"/>
          <w:sz w:val="21"/>
          <w:szCs w:val="21"/>
        </w:rPr>
        <w:t>antyfraudowe</w:t>
      </w:r>
      <w:proofErr w:type="spellEnd"/>
      <w:r w:rsidR="00AC6C0B" w:rsidRPr="00AC6C0B">
        <w:rPr>
          <w:rFonts w:ascii="Cambria" w:hAnsi="Cambria" w:cs="Times New Roman"/>
          <w:color w:val="auto"/>
          <w:sz w:val="21"/>
          <w:szCs w:val="21"/>
        </w:rPr>
        <w:t xml:space="preserve"> (35 proc.) oraz szybko zmieniające się metody działania sprawców (31 proc.).</w:t>
      </w:r>
    </w:p>
    <w:p w14:paraId="58CEE381"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Współpraca z organami ścigania wciąż oceniana przeciętnie</w:t>
      </w:r>
    </w:p>
    <w:p w14:paraId="13FABE82" w14:textId="79BB8E91" w:rsidR="00AC6C0B" w:rsidRPr="00AC6C0B" w:rsidRDefault="001D4704" w:rsidP="00AC6C0B">
      <w:pPr>
        <w:spacing w:before="100" w:beforeAutospacing="1" w:after="100" w:afterAutospacing="1"/>
        <w:jc w:val="both"/>
        <w:rPr>
          <w:rFonts w:ascii="Cambria" w:hAnsi="Cambria" w:cs="Times New Roman"/>
          <w:color w:val="auto"/>
          <w:sz w:val="21"/>
          <w:szCs w:val="21"/>
        </w:rPr>
      </w:pPr>
      <w:r w:rsidRPr="001D4704">
        <w:rPr>
          <w:rFonts w:ascii="Cambria" w:hAnsi="Cambria" w:cs="Times New Roman"/>
          <w:color w:val="auto"/>
          <w:sz w:val="21"/>
          <w:szCs w:val="21"/>
        </w:rPr>
        <w:t xml:space="preserve">Jednym z obszarów, </w:t>
      </w:r>
      <w:r>
        <w:rPr>
          <w:rFonts w:ascii="Cambria" w:hAnsi="Cambria" w:cs="Times New Roman"/>
          <w:color w:val="auto"/>
          <w:sz w:val="21"/>
          <w:szCs w:val="21"/>
        </w:rPr>
        <w:t>w których wciąż nie odnotowano</w:t>
      </w:r>
      <w:r w:rsidRPr="001D4704">
        <w:rPr>
          <w:rFonts w:ascii="Cambria" w:hAnsi="Cambria" w:cs="Times New Roman"/>
          <w:color w:val="auto"/>
          <w:sz w:val="21"/>
          <w:szCs w:val="21"/>
        </w:rPr>
        <w:t xml:space="preserve"> zasadniczej zmiany, pozostaje współpraca z organami ścigania.</w:t>
      </w:r>
      <w:r>
        <w:rPr>
          <w:rFonts w:ascii="Cambria" w:hAnsi="Cambria" w:cs="Times New Roman"/>
          <w:color w:val="auto"/>
          <w:sz w:val="21"/>
          <w:szCs w:val="21"/>
        </w:rPr>
        <w:t xml:space="preserve"> </w:t>
      </w:r>
      <w:r w:rsidR="00AC6C0B" w:rsidRPr="00AC6C0B">
        <w:rPr>
          <w:rFonts w:ascii="Cambria" w:hAnsi="Cambria" w:cs="Times New Roman"/>
          <w:color w:val="auto"/>
          <w:sz w:val="21"/>
          <w:szCs w:val="21"/>
        </w:rPr>
        <w:t xml:space="preserve">Instytucje finansowe oceniły </w:t>
      </w:r>
      <w:r>
        <w:rPr>
          <w:rFonts w:ascii="Cambria" w:hAnsi="Cambria" w:cs="Times New Roman"/>
          <w:color w:val="auto"/>
          <w:sz w:val="21"/>
          <w:szCs w:val="21"/>
        </w:rPr>
        <w:t>ją</w:t>
      </w:r>
      <w:r w:rsidR="00AC6C0B" w:rsidRPr="00AC6C0B">
        <w:rPr>
          <w:rFonts w:ascii="Cambria" w:hAnsi="Cambria" w:cs="Times New Roman"/>
          <w:color w:val="auto"/>
          <w:sz w:val="21"/>
          <w:szCs w:val="21"/>
        </w:rPr>
        <w:t xml:space="preserve"> średnio na 3,21 w pięciostopniowej skali, podobnie jak przed rokiem.</w:t>
      </w:r>
    </w:p>
    <w:p w14:paraId="156B3142" w14:textId="77777777"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Najwięcej zastrzeżeń budzą opieszałość i niska skuteczność działań (66 proc.), ograniczone zasoby (52 proc.) oraz trudności w wymianie informacji (34 proc.). Respondenci wymieniali także przewlekłość postępowań i różnice w podejściu poszczególnych jednostek.</w:t>
      </w:r>
    </w:p>
    <w:p w14:paraId="4C4D7503" w14:textId="77777777" w:rsidR="00AC6C0B" w:rsidRPr="00AC6C0B" w:rsidRDefault="00AC6C0B" w:rsidP="00AC6C0B">
      <w:pPr>
        <w:spacing w:before="100" w:beforeAutospacing="1" w:after="100" w:afterAutospacing="1"/>
        <w:jc w:val="both"/>
        <w:outlineLvl w:val="2"/>
        <w:rPr>
          <w:rFonts w:ascii="Cambria" w:hAnsi="Cambria" w:cs="Times New Roman"/>
          <w:b/>
          <w:bCs/>
          <w:color w:val="auto"/>
          <w:sz w:val="21"/>
          <w:szCs w:val="21"/>
        </w:rPr>
      </w:pPr>
      <w:r w:rsidRPr="00AC6C0B">
        <w:rPr>
          <w:rFonts w:ascii="Cambria" w:hAnsi="Cambria" w:cs="Times New Roman"/>
          <w:b/>
          <w:bCs/>
          <w:color w:val="auto"/>
          <w:sz w:val="21"/>
          <w:szCs w:val="21"/>
        </w:rPr>
        <w:t>O badaniu</w:t>
      </w:r>
    </w:p>
    <w:p w14:paraId="528ECB3B" w14:textId="77777777" w:rsidR="00AC6C0B" w:rsidRP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„Nadużycia w sektorze finansowym” to wieloletni projekt EY Polska i Związku Przedsiębiorstw Finansowych w Polsce (ZPF). Obejmuje analizę skali i charakteru nadużyć, skuteczności zabezpieczeń oraz barier utrudniających ich zwalczanie.</w:t>
      </w:r>
    </w:p>
    <w:p w14:paraId="4B1779CA" w14:textId="03D79527" w:rsidR="00AC6C0B" w:rsidRDefault="00AC6C0B" w:rsidP="00AC6C0B">
      <w:pPr>
        <w:spacing w:before="100" w:beforeAutospacing="1" w:after="100" w:afterAutospacing="1"/>
        <w:jc w:val="both"/>
        <w:rPr>
          <w:rFonts w:ascii="Cambria" w:hAnsi="Cambria" w:cs="Times New Roman"/>
          <w:color w:val="auto"/>
          <w:sz w:val="21"/>
          <w:szCs w:val="21"/>
        </w:rPr>
      </w:pPr>
      <w:r w:rsidRPr="00AC6C0B">
        <w:rPr>
          <w:rFonts w:ascii="Cambria" w:hAnsi="Cambria" w:cs="Times New Roman"/>
          <w:color w:val="auto"/>
          <w:sz w:val="21"/>
          <w:szCs w:val="21"/>
        </w:rPr>
        <w:t>Anonimowe badanie przeprowadzono od kwietnia do lipca 2026 r. i objęto nim okres od stycznia do grudnia 2025 r. Uczestniczyło w nim 29 instytucji, głównie z sektorów leasingowego, bankowego i pożyczkowego.</w:t>
      </w:r>
      <w:r>
        <w:rPr>
          <w:rFonts w:ascii="Cambria" w:hAnsi="Cambria" w:cs="Times New Roman"/>
          <w:color w:val="auto"/>
          <w:sz w:val="21"/>
          <w:szCs w:val="21"/>
        </w:rPr>
        <w:t xml:space="preserve"> Najnowszy raport dostępny jest na stronie </w:t>
      </w:r>
      <w:hyperlink r:id="rId9" w:history="1">
        <w:r w:rsidRPr="00FB2222">
          <w:rPr>
            <w:rStyle w:val="Hipercze"/>
            <w:rFonts w:ascii="Cambria" w:hAnsi="Cambria"/>
            <w:sz w:val="21"/>
            <w:szCs w:val="21"/>
          </w:rPr>
          <w:t>https://zpf.pl/naduzycia-w-sektorze-finansowym/</w:t>
        </w:r>
      </w:hyperlink>
    </w:p>
    <w:p w14:paraId="40F25520" w14:textId="77777777" w:rsidR="00961C39" w:rsidRPr="00AC6C0B" w:rsidRDefault="00961C39" w:rsidP="00AC6C0B">
      <w:pPr>
        <w:jc w:val="both"/>
        <w:rPr>
          <w:rFonts w:ascii="Cambria" w:hAnsi="Cambria" w:cs="Calibri"/>
          <w:iCs/>
          <w:color w:val="auto"/>
          <w:spacing w:val="-2"/>
          <w:sz w:val="21"/>
          <w:szCs w:val="21"/>
        </w:rPr>
      </w:pPr>
    </w:p>
    <w:p w14:paraId="203EA17E" w14:textId="77777777" w:rsidR="006F342F" w:rsidRPr="00AC6C0B" w:rsidRDefault="006F342F" w:rsidP="00AC6C0B">
      <w:pPr>
        <w:jc w:val="center"/>
        <w:rPr>
          <w:rFonts w:ascii="Cambria" w:hAnsi="Cambria" w:cs="Calibri"/>
          <w:iCs/>
          <w:color w:val="auto"/>
          <w:spacing w:val="-2"/>
          <w:sz w:val="18"/>
          <w:szCs w:val="18"/>
        </w:rPr>
      </w:pPr>
      <w:r w:rsidRPr="00AC6C0B">
        <w:rPr>
          <w:rFonts w:ascii="Cambria" w:hAnsi="Cambria" w:cs="Calibri"/>
          <w:iCs/>
          <w:color w:val="auto"/>
          <w:spacing w:val="-2"/>
          <w:sz w:val="18"/>
          <w:szCs w:val="18"/>
        </w:rPr>
        <w:t>***</w:t>
      </w:r>
    </w:p>
    <w:p w14:paraId="411E3F87" w14:textId="77777777" w:rsidR="0065044E" w:rsidRPr="00AC6C0B" w:rsidRDefault="0065044E" w:rsidP="00AC6C0B">
      <w:pPr>
        <w:jc w:val="both"/>
        <w:rPr>
          <w:rFonts w:ascii="Cambria" w:hAnsi="Cambria"/>
          <w:sz w:val="18"/>
          <w:szCs w:val="18"/>
        </w:rPr>
      </w:pPr>
    </w:p>
    <w:p w14:paraId="400398A9" w14:textId="41DBD03E" w:rsidR="0065044E" w:rsidRPr="00AC6C0B" w:rsidRDefault="0065044E" w:rsidP="00AC6C0B">
      <w:pPr>
        <w:spacing w:line="276" w:lineRule="auto"/>
        <w:jc w:val="both"/>
        <w:rPr>
          <w:rFonts w:ascii="Cambria" w:hAnsi="Cambria"/>
          <w:sz w:val="18"/>
          <w:szCs w:val="18"/>
        </w:rPr>
      </w:pPr>
      <w:r w:rsidRPr="00AC6C0B">
        <w:rPr>
          <w:rFonts w:ascii="Cambria" w:hAnsi="Cambria"/>
          <w:b/>
          <w:bCs/>
          <w:sz w:val="18"/>
          <w:szCs w:val="18"/>
        </w:rPr>
        <w:t>Związek Przedsiębiorstw Finansowych w Polsce</w:t>
      </w:r>
      <w:r w:rsidRPr="00AC6C0B">
        <w:rPr>
          <w:rFonts w:ascii="Cambria" w:hAnsi="Cambria"/>
          <w:sz w:val="18"/>
          <w:szCs w:val="18"/>
        </w:rPr>
        <w:t xml:space="preserve"> powstał 27 października 1999 roku i obecnie skupia ponad 11</w:t>
      </w:r>
      <w:r w:rsidR="0014620F">
        <w:rPr>
          <w:rFonts w:ascii="Cambria" w:hAnsi="Cambria"/>
          <w:sz w:val="18"/>
          <w:szCs w:val="18"/>
        </w:rPr>
        <w:t>7</w:t>
      </w:r>
      <w:r w:rsidRPr="00AC6C0B">
        <w:rPr>
          <w:rFonts w:ascii="Cambria" w:hAnsi="Cambria"/>
          <w:sz w:val="18"/>
          <w:szCs w:val="18"/>
        </w:rPr>
        <w:t xml:space="preserve"> przedsiębiorstw z wielu sektorów polskiego rynku finansowego, w tym bankowości, zarządzania wierzytelnościami, pośredników finansowych, instytucji pożyczkowych, zarządzających informacją gospodarczą, odwróconej hipoteki w modelu sprzedażowym, </w:t>
      </w:r>
      <w:proofErr w:type="spellStart"/>
      <w:r w:rsidRPr="00AC6C0B">
        <w:rPr>
          <w:rFonts w:ascii="Cambria" w:hAnsi="Cambria"/>
          <w:sz w:val="18"/>
          <w:szCs w:val="18"/>
        </w:rPr>
        <w:t>fintech</w:t>
      </w:r>
      <w:proofErr w:type="spellEnd"/>
      <w:r w:rsidRPr="00AC6C0B">
        <w:rPr>
          <w:rFonts w:ascii="Cambria" w:hAnsi="Cambria"/>
          <w:sz w:val="18"/>
          <w:szCs w:val="18"/>
        </w:rPr>
        <w:t xml:space="preserve">. Jest największą </w:t>
      </w:r>
      <w:proofErr w:type="spellStart"/>
      <w:r w:rsidRPr="00AC6C0B">
        <w:rPr>
          <w:rFonts w:ascii="Cambria" w:hAnsi="Cambria"/>
          <w:sz w:val="18"/>
          <w:szCs w:val="18"/>
        </w:rPr>
        <w:t>multisektorową</w:t>
      </w:r>
      <w:proofErr w:type="spellEnd"/>
      <w:r w:rsidRPr="00AC6C0B">
        <w:rPr>
          <w:rFonts w:ascii="Cambria" w:hAnsi="Cambria"/>
          <w:sz w:val="18"/>
          <w:szCs w:val="18"/>
        </w:rPr>
        <w:t xml:space="preserve"> organizacją podmiotów rynku finansowego w Polsce.</w:t>
      </w:r>
    </w:p>
    <w:p w14:paraId="650450C7" w14:textId="77777777" w:rsidR="0065044E" w:rsidRPr="00AC6C0B" w:rsidRDefault="0065044E" w:rsidP="00AC6C0B">
      <w:pPr>
        <w:spacing w:line="276" w:lineRule="auto"/>
        <w:jc w:val="both"/>
        <w:rPr>
          <w:rFonts w:ascii="Cambria" w:hAnsi="Cambria"/>
          <w:sz w:val="18"/>
          <w:szCs w:val="18"/>
        </w:rPr>
      </w:pPr>
    </w:p>
    <w:p w14:paraId="719BC3C6" w14:textId="77777777" w:rsidR="0065044E" w:rsidRPr="00AC6C0B" w:rsidRDefault="0065044E" w:rsidP="00AC6C0B">
      <w:pPr>
        <w:spacing w:line="276" w:lineRule="auto"/>
        <w:jc w:val="both"/>
        <w:rPr>
          <w:rFonts w:ascii="Cambria" w:hAnsi="Cambria"/>
          <w:sz w:val="18"/>
          <w:szCs w:val="18"/>
        </w:rPr>
      </w:pPr>
      <w:r w:rsidRPr="00AC6C0B">
        <w:rPr>
          <w:rFonts w:ascii="Cambria" w:hAnsi="Cambria"/>
          <w:sz w:val="18"/>
          <w:szCs w:val="18"/>
        </w:rPr>
        <w:t>Od ponad 25 lat ZPF działa na rzecz rozwoju rynku finansowego w Polsce i podnoszenia standardów etycznych w branży, występuje aktywnie jako partner społeczny w procesach legislacyjnych, a także reprezentuje polskie instytucje finansowe w UE. ZPF to członek dwóch organizacji samorządowych na szczeblu europejskim: EUROFINAS (</w:t>
      </w:r>
      <w:proofErr w:type="spellStart"/>
      <w:r w:rsidRPr="00AC6C0B">
        <w:rPr>
          <w:rFonts w:ascii="Cambria" w:hAnsi="Cambria"/>
          <w:sz w:val="18"/>
          <w:szCs w:val="18"/>
        </w:rPr>
        <w:t>European</w:t>
      </w:r>
      <w:proofErr w:type="spellEnd"/>
      <w:r w:rsidRPr="00AC6C0B">
        <w:rPr>
          <w:rFonts w:ascii="Cambria" w:hAnsi="Cambria"/>
          <w:sz w:val="18"/>
          <w:szCs w:val="18"/>
        </w:rPr>
        <w:t xml:space="preserve"> </w:t>
      </w:r>
      <w:proofErr w:type="spellStart"/>
      <w:r w:rsidRPr="00AC6C0B">
        <w:rPr>
          <w:rFonts w:ascii="Cambria" w:hAnsi="Cambria"/>
          <w:sz w:val="18"/>
          <w:szCs w:val="18"/>
        </w:rPr>
        <w:t>Federation</w:t>
      </w:r>
      <w:proofErr w:type="spellEnd"/>
      <w:r w:rsidRPr="00AC6C0B">
        <w:rPr>
          <w:rFonts w:ascii="Cambria" w:hAnsi="Cambria"/>
          <w:sz w:val="18"/>
          <w:szCs w:val="18"/>
        </w:rPr>
        <w:t xml:space="preserve"> of Finance House </w:t>
      </w:r>
      <w:proofErr w:type="spellStart"/>
      <w:r w:rsidRPr="00AC6C0B">
        <w:rPr>
          <w:rFonts w:ascii="Cambria" w:hAnsi="Cambria"/>
          <w:sz w:val="18"/>
          <w:szCs w:val="18"/>
        </w:rPr>
        <w:t>Associations</w:t>
      </w:r>
      <w:proofErr w:type="spellEnd"/>
      <w:r w:rsidRPr="00AC6C0B">
        <w:rPr>
          <w:rFonts w:ascii="Cambria" w:hAnsi="Cambria"/>
          <w:sz w:val="18"/>
          <w:szCs w:val="18"/>
        </w:rPr>
        <w:t xml:space="preserve">), zrzeszającej instytucje związane z rynkiem kredytu konsumenckiego w </w:t>
      </w:r>
      <w:r w:rsidRPr="00AC6C0B">
        <w:rPr>
          <w:rFonts w:ascii="Cambria" w:hAnsi="Cambria"/>
          <w:sz w:val="18"/>
          <w:szCs w:val="18"/>
        </w:rPr>
        <w:lastRenderedPageBreak/>
        <w:t>Europie oraz FENCA (</w:t>
      </w:r>
      <w:proofErr w:type="spellStart"/>
      <w:r w:rsidRPr="00AC6C0B">
        <w:rPr>
          <w:rFonts w:ascii="Cambria" w:hAnsi="Cambria"/>
          <w:sz w:val="18"/>
          <w:szCs w:val="18"/>
        </w:rPr>
        <w:t>Federation</w:t>
      </w:r>
      <w:proofErr w:type="spellEnd"/>
      <w:r w:rsidRPr="00AC6C0B">
        <w:rPr>
          <w:rFonts w:ascii="Cambria" w:hAnsi="Cambria"/>
          <w:sz w:val="18"/>
          <w:szCs w:val="18"/>
        </w:rPr>
        <w:t xml:space="preserve"> of </w:t>
      </w:r>
      <w:proofErr w:type="spellStart"/>
      <w:r w:rsidRPr="00AC6C0B">
        <w:rPr>
          <w:rFonts w:ascii="Cambria" w:hAnsi="Cambria"/>
          <w:sz w:val="18"/>
          <w:szCs w:val="18"/>
        </w:rPr>
        <w:t>European</w:t>
      </w:r>
      <w:proofErr w:type="spellEnd"/>
      <w:r w:rsidRPr="00AC6C0B">
        <w:rPr>
          <w:rFonts w:ascii="Cambria" w:hAnsi="Cambria"/>
          <w:sz w:val="18"/>
          <w:szCs w:val="18"/>
        </w:rPr>
        <w:t xml:space="preserve"> </w:t>
      </w:r>
      <w:proofErr w:type="spellStart"/>
      <w:r w:rsidRPr="00AC6C0B">
        <w:rPr>
          <w:rFonts w:ascii="Cambria" w:hAnsi="Cambria"/>
          <w:sz w:val="18"/>
          <w:szCs w:val="18"/>
        </w:rPr>
        <w:t>National</w:t>
      </w:r>
      <w:proofErr w:type="spellEnd"/>
      <w:r w:rsidRPr="00AC6C0B">
        <w:rPr>
          <w:rFonts w:ascii="Cambria" w:hAnsi="Cambria"/>
          <w:sz w:val="18"/>
          <w:szCs w:val="18"/>
        </w:rPr>
        <w:t xml:space="preserve"> Collection </w:t>
      </w:r>
      <w:proofErr w:type="spellStart"/>
      <w:r w:rsidRPr="00AC6C0B">
        <w:rPr>
          <w:rFonts w:ascii="Cambria" w:hAnsi="Cambria"/>
          <w:sz w:val="18"/>
          <w:szCs w:val="18"/>
        </w:rPr>
        <w:t>Associations</w:t>
      </w:r>
      <w:proofErr w:type="spellEnd"/>
      <w:r w:rsidRPr="00AC6C0B">
        <w:rPr>
          <w:rFonts w:ascii="Cambria" w:hAnsi="Cambria"/>
          <w:sz w:val="18"/>
          <w:szCs w:val="18"/>
        </w:rPr>
        <w:t>), która reprezentuje interesy sektora zarządzania wierzytelnościami w Europie.</w:t>
      </w:r>
    </w:p>
    <w:p w14:paraId="7FB268D4" w14:textId="77777777" w:rsidR="0065044E" w:rsidRPr="00AC6C0B" w:rsidRDefault="0065044E" w:rsidP="00AC6C0B">
      <w:pPr>
        <w:spacing w:line="276" w:lineRule="auto"/>
        <w:jc w:val="both"/>
        <w:rPr>
          <w:rFonts w:ascii="Cambria" w:hAnsi="Cambria"/>
          <w:sz w:val="18"/>
          <w:szCs w:val="18"/>
        </w:rPr>
      </w:pPr>
    </w:p>
    <w:p w14:paraId="7A6C8E6A" w14:textId="77777777" w:rsidR="0065044E" w:rsidRPr="00AC6C0B" w:rsidRDefault="0065044E" w:rsidP="00AC6C0B">
      <w:pPr>
        <w:spacing w:line="276" w:lineRule="auto"/>
        <w:jc w:val="both"/>
        <w:rPr>
          <w:rFonts w:ascii="Cambria" w:hAnsi="Cambria"/>
          <w:sz w:val="18"/>
          <w:szCs w:val="18"/>
        </w:rPr>
      </w:pPr>
      <w:r w:rsidRPr="00AC6C0B">
        <w:rPr>
          <w:rFonts w:ascii="Cambria" w:hAnsi="Cambria"/>
          <w:sz w:val="18"/>
          <w:szCs w:val="18"/>
        </w:rPr>
        <w:t xml:space="preserve">ZPF ma w swoim dorobku badawczym kilkaset raportów branżowych. Jest też organizatorem kongresów, </w:t>
      </w:r>
      <w:proofErr w:type="spellStart"/>
      <w:r w:rsidRPr="00AC6C0B">
        <w:rPr>
          <w:rFonts w:ascii="Cambria" w:hAnsi="Cambria"/>
          <w:sz w:val="18"/>
          <w:szCs w:val="18"/>
        </w:rPr>
        <w:t>webinarów</w:t>
      </w:r>
      <w:proofErr w:type="spellEnd"/>
      <w:r w:rsidRPr="00AC6C0B">
        <w:rPr>
          <w:rFonts w:ascii="Cambria" w:hAnsi="Cambria"/>
          <w:sz w:val="18"/>
          <w:szCs w:val="18"/>
        </w:rPr>
        <w:t xml:space="preserve"> i innych inicjatyw dla branży finansowej.</w:t>
      </w:r>
    </w:p>
    <w:p w14:paraId="31A06D06" w14:textId="77777777" w:rsidR="0065044E" w:rsidRPr="00AC6C0B" w:rsidRDefault="0065044E" w:rsidP="00AC6C0B">
      <w:pPr>
        <w:jc w:val="both"/>
        <w:rPr>
          <w:rFonts w:ascii="Cambria" w:hAnsi="Cambria"/>
          <w:sz w:val="18"/>
          <w:szCs w:val="18"/>
        </w:rPr>
      </w:pPr>
    </w:p>
    <w:p w14:paraId="72834409" w14:textId="43D74EF7" w:rsidR="0065044E" w:rsidRPr="00AC6C0B" w:rsidRDefault="0065044E" w:rsidP="00AC6C0B">
      <w:pPr>
        <w:jc w:val="both"/>
        <w:rPr>
          <w:rFonts w:ascii="Cambria" w:hAnsi="Cambria"/>
          <w:b/>
          <w:color w:val="000090"/>
          <w:sz w:val="18"/>
          <w:szCs w:val="18"/>
        </w:rPr>
      </w:pPr>
      <w:r w:rsidRPr="00AC6C0B">
        <w:rPr>
          <w:rFonts w:ascii="Cambria" w:hAnsi="Cambria"/>
          <w:noProof/>
          <w:sz w:val="18"/>
          <w:szCs w:val="18"/>
        </w:rPr>
        <w:drawing>
          <wp:anchor distT="0" distB="0" distL="114300" distR="114300" simplePos="0" relativeHeight="251660800" behindDoc="0" locked="0" layoutInCell="1" allowOverlap="1" wp14:anchorId="28938FE2" wp14:editId="1510E2BE">
            <wp:simplePos x="0" y="0"/>
            <wp:positionH relativeFrom="margin">
              <wp:align>left</wp:align>
            </wp:positionH>
            <wp:positionV relativeFrom="paragraph">
              <wp:posOffset>74930</wp:posOffset>
            </wp:positionV>
            <wp:extent cx="252095" cy="252095"/>
            <wp:effectExtent l="0" t="0" r="0" b="0"/>
            <wp:wrapSquare wrapText="bothSides"/>
            <wp:docPr id="611109592" name="Obraz 1"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lipart&#10;&#10;Opis wygenerowany automatyczni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pic:spPr>
                </pic:pic>
              </a:graphicData>
            </a:graphic>
            <wp14:sizeRelH relativeFrom="page">
              <wp14:pctWidth>0</wp14:pctWidth>
            </wp14:sizeRelH>
            <wp14:sizeRelV relativeFrom="page">
              <wp14:pctHeight>0</wp14:pctHeight>
            </wp14:sizeRelV>
          </wp:anchor>
        </w:drawing>
      </w:r>
    </w:p>
    <w:p w14:paraId="30D60AB3" w14:textId="77777777" w:rsidR="0065044E" w:rsidRPr="00AC6C0B" w:rsidRDefault="0065044E" w:rsidP="00AC6C0B">
      <w:pPr>
        <w:jc w:val="both"/>
        <w:rPr>
          <w:rStyle w:val="Hipercze"/>
          <w:rFonts w:ascii="Cambria" w:eastAsiaTheme="majorEastAsia" w:hAnsi="Cambria"/>
          <w:sz w:val="18"/>
          <w:szCs w:val="18"/>
        </w:rPr>
      </w:pPr>
      <w:hyperlink r:id="rId11" w:history="1">
        <w:r w:rsidRPr="00AC6C0B">
          <w:rPr>
            <w:rStyle w:val="Hipercze"/>
            <w:rFonts w:ascii="Cambria" w:eastAsiaTheme="majorEastAsia" w:hAnsi="Cambria"/>
            <w:sz w:val="18"/>
            <w:szCs w:val="18"/>
          </w:rPr>
          <w:t>http://www.linkedin.com/company/zpf</w:t>
        </w:r>
      </w:hyperlink>
    </w:p>
    <w:p w14:paraId="1DC618FF" w14:textId="77777777" w:rsidR="006F342F" w:rsidRPr="00AC6C0B" w:rsidRDefault="006F342F" w:rsidP="00AC6C0B">
      <w:pPr>
        <w:spacing w:line="276" w:lineRule="auto"/>
        <w:jc w:val="both"/>
        <w:rPr>
          <w:rFonts w:ascii="Cambria" w:hAnsi="Cambria" w:cs="Calibri"/>
          <w:iCs/>
          <w:color w:val="auto"/>
          <w:spacing w:val="-2"/>
          <w:sz w:val="21"/>
          <w:szCs w:val="21"/>
        </w:rPr>
      </w:pPr>
    </w:p>
    <w:p w14:paraId="17BC34E6" w14:textId="77777777" w:rsidR="0065044E" w:rsidRPr="00AC6C0B" w:rsidRDefault="0065044E" w:rsidP="00AC6C0B">
      <w:pPr>
        <w:spacing w:line="276" w:lineRule="auto"/>
        <w:jc w:val="both"/>
        <w:rPr>
          <w:rFonts w:ascii="Cambria" w:hAnsi="Cambria" w:cs="Calibri"/>
          <w:iCs/>
          <w:color w:val="auto"/>
          <w:spacing w:val="-2"/>
          <w:sz w:val="21"/>
          <w:szCs w:val="21"/>
        </w:rPr>
      </w:pPr>
    </w:p>
    <w:p w14:paraId="5C3CFD44" w14:textId="77777777" w:rsidR="0065044E" w:rsidRPr="00AC6C0B" w:rsidRDefault="0065044E" w:rsidP="00AC6C0B">
      <w:pPr>
        <w:spacing w:line="276" w:lineRule="auto"/>
        <w:jc w:val="both"/>
        <w:rPr>
          <w:rFonts w:ascii="Cambria" w:hAnsi="Cambria" w:cs="Calibri"/>
          <w:iCs/>
          <w:color w:val="auto"/>
          <w:spacing w:val="-2"/>
          <w:sz w:val="21"/>
          <w:szCs w:val="21"/>
        </w:rPr>
      </w:pPr>
    </w:p>
    <w:p w14:paraId="14F78A9B" w14:textId="4F7C2505" w:rsidR="006F342F" w:rsidRPr="00AC6C0B" w:rsidRDefault="006F342F" w:rsidP="00AC6C0B">
      <w:pPr>
        <w:jc w:val="both"/>
        <w:rPr>
          <w:rStyle w:val="Hipercze"/>
          <w:rFonts w:ascii="Cambria" w:hAnsi="Cambria" w:cs="Arial"/>
          <w:b/>
          <w:color w:val="000090"/>
          <w:sz w:val="21"/>
          <w:szCs w:val="21"/>
          <w:u w:val="none"/>
        </w:rPr>
      </w:pPr>
    </w:p>
    <w:p w14:paraId="778D21EA" w14:textId="77777777" w:rsidR="006F342F" w:rsidRPr="00AC6C0B" w:rsidRDefault="006F342F" w:rsidP="00AC6C0B">
      <w:pPr>
        <w:jc w:val="both"/>
        <w:rPr>
          <w:rStyle w:val="Hipercze"/>
          <w:rFonts w:ascii="Cambria" w:hAnsi="Cambria"/>
          <w:sz w:val="21"/>
          <w:szCs w:val="21"/>
        </w:rPr>
      </w:pPr>
    </w:p>
    <w:p w14:paraId="40929628" w14:textId="56E08116" w:rsidR="00047E3C" w:rsidRPr="00AC6C0B" w:rsidRDefault="006F342F" w:rsidP="00AC6C0B">
      <w:pPr>
        <w:jc w:val="both"/>
        <w:rPr>
          <w:rFonts w:ascii="Cambria" w:hAnsi="Cambria"/>
          <w:iCs/>
          <w:color w:val="auto"/>
          <w:spacing w:val="-2"/>
          <w:sz w:val="21"/>
          <w:szCs w:val="21"/>
        </w:rPr>
      </w:pPr>
      <w:r w:rsidRPr="00AC6C0B">
        <w:rPr>
          <w:rFonts w:ascii="Cambria" w:hAnsi="Cambria"/>
          <w:noProof/>
          <w:sz w:val="21"/>
          <w:szCs w:val="21"/>
        </w:rPr>
        <w:drawing>
          <wp:inline distT="0" distB="0" distL="0" distR="0" wp14:anchorId="207A1346" wp14:editId="5145C27F">
            <wp:extent cx="2369820" cy="601980"/>
            <wp:effectExtent l="0" t="0" r="0" b="7620"/>
            <wp:docPr id="1170994824" name="Obraz 4" descr="Obraz zawierający Grafika, zrzut ekranu, projekt graficzny,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94824" name="Obraz 4" descr="Obraz zawierający Grafika, zrzut ekranu, projekt graficzny, Czcionka&#10;&#10;Zawartość wygenerowana przez AI może być niepopraw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820" cy="601980"/>
                    </a:xfrm>
                    <a:prstGeom prst="rect">
                      <a:avLst/>
                    </a:prstGeom>
                    <a:noFill/>
                    <a:ln>
                      <a:noFill/>
                    </a:ln>
                  </pic:spPr>
                </pic:pic>
              </a:graphicData>
            </a:graphic>
          </wp:inline>
        </w:drawing>
      </w:r>
    </w:p>
    <w:sectPr w:rsidR="00047E3C" w:rsidRPr="00AC6C0B" w:rsidSect="006F342F">
      <w:headerReference w:type="even" r:id="rId13"/>
      <w:headerReference w:type="default" r:id="rId14"/>
      <w:footerReference w:type="even" r:id="rId15"/>
      <w:footerReference w:type="default" r:id="rId16"/>
      <w:headerReference w:type="first" r:id="rId17"/>
      <w:footerReference w:type="first" r:id="rId18"/>
      <w:pgSz w:w="11906" w:h="16838"/>
      <w:pgMar w:top="1843"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CDE5" w14:textId="77777777" w:rsidR="009900A0" w:rsidRDefault="009900A0">
      <w:r>
        <w:separator/>
      </w:r>
    </w:p>
  </w:endnote>
  <w:endnote w:type="continuationSeparator" w:id="0">
    <w:p w14:paraId="65E2D3B8" w14:textId="77777777" w:rsidR="009900A0" w:rsidRDefault="00990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74F7" w14:textId="77777777" w:rsidR="00641251" w:rsidRDefault="0064125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8"/>
        <w:szCs w:val="18"/>
      </w:rPr>
      <w:id w:val="-50545918"/>
      <w:docPartObj>
        <w:docPartGallery w:val="Page Numbers (Bottom of Page)"/>
        <w:docPartUnique/>
      </w:docPartObj>
    </w:sdtPr>
    <w:sdtContent>
      <w:sdt>
        <w:sdtPr>
          <w:rPr>
            <w:rFonts w:asciiTheme="majorHAnsi" w:hAnsiTheme="majorHAnsi"/>
            <w:sz w:val="18"/>
            <w:szCs w:val="18"/>
          </w:rPr>
          <w:id w:val="-1329895559"/>
          <w:docPartObj>
            <w:docPartGallery w:val="Page Numbers (Top of Page)"/>
            <w:docPartUnique/>
          </w:docPartObj>
        </w:sdtPr>
        <w:sdtContent>
          <w:p w14:paraId="02FBD410" w14:textId="77777777" w:rsidR="006F342F" w:rsidRPr="001A0714" w:rsidRDefault="006F342F">
            <w:pPr>
              <w:pStyle w:val="Stopka"/>
              <w:jc w:val="right"/>
              <w:rPr>
                <w:rFonts w:asciiTheme="majorHAnsi" w:hAnsiTheme="majorHAnsi"/>
                <w:sz w:val="18"/>
                <w:szCs w:val="18"/>
              </w:rPr>
            </w:pPr>
            <w:r w:rsidRPr="001A0714">
              <w:rPr>
                <w:rFonts w:asciiTheme="majorHAnsi" w:hAnsiTheme="majorHAnsi"/>
                <w:noProof/>
                <w:sz w:val="18"/>
                <w:szCs w:val="18"/>
              </w:rPr>
              <w:drawing>
                <wp:anchor distT="0" distB="0" distL="114300" distR="114300" simplePos="0" relativeHeight="251657216" behindDoc="0" locked="0" layoutInCell="1" allowOverlap="1" wp14:anchorId="1B45800B" wp14:editId="544DF139">
                  <wp:simplePos x="0" y="0"/>
                  <wp:positionH relativeFrom="column">
                    <wp:posOffset>-900430</wp:posOffset>
                  </wp:positionH>
                  <wp:positionV relativeFrom="paragraph">
                    <wp:posOffset>-178435</wp:posOffset>
                  </wp:positionV>
                  <wp:extent cx="5732145" cy="748030"/>
                  <wp:effectExtent l="0" t="0" r="0" b="0"/>
                  <wp:wrapNone/>
                  <wp:docPr id="10" name="Obraz 10" descr="D:\Dokumenty KPF\GRAFIKA\_ZPF_Identyfikacja wizualna\ZPF_DOKUMENTY\ZPF_stopka-bez-eur-2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 KPF\GRAFIKA\_ZPF_Identyfikacja wizualna\ZPF_DOKUMENTY\ZPF_stopka-bez-eur-25.wmf"/>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142" t="-3" r="30226" b="3160"/>
                          <a:stretch/>
                        </pic:blipFill>
                        <pic:spPr bwMode="auto">
                          <a:xfrm>
                            <a:off x="0" y="0"/>
                            <a:ext cx="5732145" cy="7480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0714">
              <w:rPr>
                <w:rFonts w:asciiTheme="majorHAnsi" w:hAnsiTheme="majorHAnsi"/>
                <w:sz w:val="18"/>
                <w:szCs w:val="18"/>
              </w:rPr>
              <w:t xml:space="preserve">Strona </w:t>
            </w:r>
            <w:r w:rsidRPr="001A0714">
              <w:rPr>
                <w:rFonts w:asciiTheme="majorHAnsi" w:hAnsiTheme="majorHAnsi"/>
                <w:sz w:val="18"/>
                <w:szCs w:val="18"/>
              </w:rPr>
              <w:fldChar w:fldCharType="begin"/>
            </w:r>
            <w:r w:rsidRPr="001A0714">
              <w:rPr>
                <w:rFonts w:asciiTheme="majorHAnsi" w:hAnsiTheme="majorHAnsi"/>
                <w:sz w:val="18"/>
                <w:szCs w:val="18"/>
              </w:rPr>
              <w:instrText>PAGE</w:instrText>
            </w:r>
            <w:r w:rsidRPr="001A0714">
              <w:rPr>
                <w:rFonts w:asciiTheme="majorHAnsi" w:hAnsiTheme="majorHAnsi"/>
                <w:sz w:val="18"/>
                <w:szCs w:val="18"/>
              </w:rPr>
              <w:fldChar w:fldCharType="separate"/>
            </w:r>
            <w:r w:rsidRPr="001A0714">
              <w:rPr>
                <w:rFonts w:asciiTheme="majorHAnsi" w:hAnsiTheme="majorHAnsi"/>
                <w:sz w:val="18"/>
                <w:szCs w:val="18"/>
              </w:rPr>
              <w:t>3</w:t>
            </w:r>
            <w:r w:rsidRPr="001A0714">
              <w:rPr>
                <w:rFonts w:asciiTheme="majorHAnsi" w:hAnsiTheme="majorHAnsi"/>
                <w:sz w:val="18"/>
                <w:szCs w:val="18"/>
              </w:rPr>
              <w:fldChar w:fldCharType="end"/>
            </w:r>
            <w:r w:rsidRPr="001A0714">
              <w:rPr>
                <w:rFonts w:asciiTheme="majorHAnsi" w:hAnsiTheme="majorHAnsi"/>
                <w:sz w:val="18"/>
                <w:szCs w:val="18"/>
              </w:rPr>
              <w:t xml:space="preserve"> z </w:t>
            </w:r>
            <w:r w:rsidRPr="001A0714">
              <w:rPr>
                <w:rFonts w:asciiTheme="majorHAnsi" w:hAnsiTheme="majorHAnsi"/>
                <w:sz w:val="18"/>
                <w:szCs w:val="18"/>
              </w:rPr>
              <w:fldChar w:fldCharType="begin"/>
            </w:r>
            <w:r w:rsidRPr="001A0714">
              <w:rPr>
                <w:rFonts w:asciiTheme="majorHAnsi" w:hAnsiTheme="majorHAnsi"/>
                <w:sz w:val="18"/>
                <w:szCs w:val="18"/>
              </w:rPr>
              <w:instrText>NUMPAGES</w:instrText>
            </w:r>
            <w:r w:rsidRPr="001A0714">
              <w:rPr>
                <w:rFonts w:asciiTheme="majorHAnsi" w:hAnsiTheme="majorHAnsi"/>
                <w:sz w:val="18"/>
                <w:szCs w:val="18"/>
              </w:rPr>
              <w:fldChar w:fldCharType="separate"/>
            </w:r>
            <w:r w:rsidRPr="001A0714">
              <w:rPr>
                <w:rFonts w:asciiTheme="majorHAnsi" w:hAnsiTheme="majorHAnsi"/>
                <w:sz w:val="18"/>
                <w:szCs w:val="18"/>
              </w:rPr>
              <w:t>3</w:t>
            </w:r>
            <w:r w:rsidRPr="001A0714">
              <w:rPr>
                <w:rFonts w:asciiTheme="majorHAnsi" w:hAnsiTheme="majorHAnsi"/>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8348" w14:textId="77777777" w:rsidR="00641251" w:rsidRDefault="006412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FDFB" w14:textId="77777777" w:rsidR="009900A0" w:rsidRDefault="009900A0">
      <w:r>
        <w:separator/>
      </w:r>
    </w:p>
  </w:footnote>
  <w:footnote w:type="continuationSeparator" w:id="0">
    <w:p w14:paraId="0CF9B3DB" w14:textId="77777777" w:rsidR="009900A0" w:rsidRDefault="00990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4EF9" w14:textId="77777777" w:rsidR="00641251" w:rsidRDefault="0064125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9BAF" w14:textId="77777777" w:rsidR="006F342F" w:rsidRPr="001A0714" w:rsidRDefault="006F342F">
    <w:pPr>
      <w:pStyle w:val="Nagwek"/>
    </w:pPr>
    <w:r w:rsidRPr="001A0714">
      <w:rPr>
        <w:rFonts w:asciiTheme="minorHAnsi" w:hAnsiTheme="minorHAnsi"/>
        <w:noProof/>
        <w:color w:val="1C2442"/>
      </w:rPr>
      <w:drawing>
        <wp:inline distT="0" distB="0" distL="0" distR="0" wp14:anchorId="69AEBC12" wp14:editId="6F71FCCA">
          <wp:extent cx="1963973" cy="461729"/>
          <wp:effectExtent l="0" t="0" r="0" b="0"/>
          <wp:docPr id="9" name="Obraz 9" descr="D:\Dokumenty KPF\GRAFIKA\_ZPF_Identyfikacja wizualna\logo-zpf-wmf.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kumenty KPF\GRAFIKA\_ZPF_Identyfikacja wizualna\logo-zpf-wmf.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2095" cy="46363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5B69" w14:textId="77777777" w:rsidR="00641251" w:rsidRDefault="00641251">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72"/>
    <w:rsid w:val="00002253"/>
    <w:rsid w:val="00021A13"/>
    <w:rsid w:val="00037715"/>
    <w:rsid w:val="00046861"/>
    <w:rsid w:val="00046F8D"/>
    <w:rsid w:val="00047E3C"/>
    <w:rsid w:val="000525F3"/>
    <w:rsid w:val="00053F32"/>
    <w:rsid w:val="000559DB"/>
    <w:rsid w:val="0006407B"/>
    <w:rsid w:val="00071F3A"/>
    <w:rsid w:val="00075F07"/>
    <w:rsid w:val="00077387"/>
    <w:rsid w:val="00087B2C"/>
    <w:rsid w:val="00091189"/>
    <w:rsid w:val="00097782"/>
    <w:rsid w:val="000A2B7B"/>
    <w:rsid w:val="000C3DB7"/>
    <w:rsid w:val="000D19B0"/>
    <w:rsid w:val="000E16B3"/>
    <w:rsid w:val="000E1C75"/>
    <w:rsid w:val="000E25F4"/>
    <w:rsid w:val="000E4C5A"/>
    <w:rsid w:val="000E7CAC"/>
    <w:rsid w:val="000F23A5"/>
    <w:rsid w:val="0010471C"/>
    <w:rsid w:val="00114AAE"/>
    <w:rsid w:val="0012371C"/>
    <w:rsid w:val="00133DB5"/>
    <w:rsid w:val="0014620F"/>
    <w:rsid w:val="00166576"/>
    <w:rsid w:val="001A22CE"/>
    <w:rsid w:val="001A7A1E"/>
    <w:rsid w:val="001C077F"/>
    <w:rsid w:val="001C419C"/>
    <w:rsid w:val="001C6A99"/>
    <w:rsid w:val="001D1F6F"/>
    <w:rsid w:val="001D4704"/>
    <w:rsid w:val="001E0126"/>
    <w:rsid w:val="001E471E"/>
    <w:rsid w:val="001F3129"/>
    <w:rsid w:val="001F6D09"/>
    <w:rsid w:val="00202A6A"/>
    <w:rsid w:val="00211021"/>
    <w:rsid w:val="00222BCB"/>
    <w:rsid w:val="00223566"/>
    <w:rsid w:val="002250E6"/>
    <w:rsid w:val="0023576F"/>
    <w:rsid w:val="002556D8"/>
    <w:rsid w:val="002601C1"/>
    <w:rsid w:val="0026439C"/>
    <w:rsid w:val="00273539"/>
    <w:rsid w:val="00273D81"/>
    <w:rsid w:val="002742A9"/>
    <w:rsid w:val="002754A4"/>
    <w:rsid w:val="002757E2"/>
    <w:rsid w:val="00277308"/>
    <w:rsid w:val="00283FCF"/>
    <w:rsid w:val="00284282"/>
    <w:rsid w:val="00287850"/>
    <w:rsid w:val="00290404"/>
    <w:rsid w:val="00293826"/>
    <w:rsid w:val="002979D1"/>
    <w:rsid w:val="002A3B05"/>
    <w:rsid w:val="002A45E3"/>
    <w:rsid w:val="002B3C65"/>
    <w:rsid w:val="002B4CE2"/>
    <w:rsid w:val="002B539C"/>
    <w:rsid w:val="002B707A"/>
    <w:rsid w:val="002B7A4C"/>
    <w:rsid w:val="002C6DB1"/>
    <w:rsid w:val="002D2BCF"/>
    <w:rsid w:val="002E163F"/>
    <w:rsid w:val="002E300B"/>
    <w:rsid w:val="002E4BF7"/>
    <w:rsid w:val="003106CA"/>
    <w:rsid w:val="00317C37"/>
    <w:rsid w:val="00331404"/>
    <w:rsid w:val="00333178"/>
    <w:rsid w:val="0034516A"/>
    <w:rsid w:val="00345891"/>
    <w:rsid w:val="00345D23"/>
    <w:rsid w:val="0035082B"/>
    <w:rsid w:val="003508B8"/>
    <w:rsid w:val="00354151"/>
    <w:rsid w:val="00366864"/>
    <w:rsid w:val="00373AB7"/>
    <w:rsid w:val="00380DFD"/>
    <w:rsid w:val="003833A9"/>
    <w:rsid w:val="0039407C"/>
    <w:rsid w:val="003B18C4"/>
    <w:rsid w:val="003B6BFD"/>
    <w:rsid w:val="003C600B"/>
    <w:rsid w:val="003C6F8F"/>
    <w:rsid w:val="003D37D9"/>
    <w:rsid w:val="003E3FFF"/>
    <w:rsid w:val="00402837"/>
    <w:rsid w:val="00403C68"/>
    <w:rsid w:val="00417BA6"/>
    <w:rsid w:val="00421374"/>
    <w:rsid w:val="00430273"/>
    <w:rsid w:val="00432028"/>
    <w:rsid w:val="00442436"/>
    <w:rsid w:val="00462A62"/>
    <w:rsid w:val="0047698C"/>
    <w:rsid w:val="00482E07"/>
    <w:rsid w:val="00494BC3"/>
    <w:rsid w:val="004A0D1A"/>
    <w:rsid w:val="004B2551"/>
    <w:rsid w:val="004C65E9"/>
    <w:rsid w:val="004D21D2"/>
    <w:rsid w:val="004D6BB2"/>
    <w:rsid w:val="004E1153"/>
    <w:rsid w:val="004E3305"/>
    <w:rsid w:val="004E4320"/>
    <w:rsid w:val="004E5551"/>
    <w:rsid w:val="004F29DC"/>
    <w:rsid w:val="004F5DF3"/>
    <w:rsid w:val="00503F41"/>
    <w:rsid w:val="0051217A"/>
    <w:rsid w:val="00513C7F"/>
    <w:rsid w:val="0051584F"/>
    <w:rsid w:val="00516A99"/>
    <w:rsid w:val="00524787"/>
    <w:rsid w:val="00543849"/>
    <w:rsid w:val="0055151D"/>
    <w:rsid w:val="00573C45"/>
    <w:rsid w:val="00582A18"/>
    <w:rsid w:val="0059099C"/>
    <w:rsid w:val="00594F25"/>
    <w:rsid w:val="005958A0"/>
    <w:rsid w:val="005B706F"/>
    <w:rsid w:val="005B70F7"/>
    <w:rsid w:val="005E3EFD"/>
    <w:rsid w:val="005E75D0"/>
    <w:rsid w:val="0060096A"/>
    <w:rsid w:val="006026DC"/>
    <w:rsid w:val="0060337F"/>
    <w:rsid w:val="00621466"/>
    <w:rsid w:val="006215EA"/>
    <w:rsid w:val="006216BA"/>
    <w:rsid w:val="0064104D"/>
    <w:rsid w:val="00641109"/>
    <w:rsid w:val="00641251"/>
    <w:rsid w:val="00642D09"/>
    <w:rsid w:val="006471B2"/>
    <w:rsid w:val="0065044E"/>
    <w:rsid w:val="00653584"/>
    <w:rsid w:val="0066746D"/>
    <w:rsid w:val="006708BD"/>
    <w:rsid w:val="0067127E"/>
    <w:rsid w:val="00673D1C"/>
    <w:rsid w:val="00674383"/>
    <w:rsid w:val="00684210"/>
    <w:rsid w:val="00692840"/>
    <w:rsid w:val="006A5FE6"/>
    <w:rsid w:val="006C5BA2"/>
    <w:rsid w:val="006C7409"/>
    <w:rsid w:val="006F342F"/>
    <w:rsid w:val="00712641"/>
    <w:rsid w:val="007132F2"/>
    <w:rsid w:val="00714EBB"/>
    <w:rsid w:val="00726FC7"/>
    <w:rsid w:val="007278FF"/>
    <w:rsid w:val="00735AB0"/>
    <w:rsid w:val="00740778"/>
    <w:rsid w:val="007456CE"/>
    <w:rsid w:val="0074589F"/>
    <w:rsid w:val="00747239"/>
    <w:rsid w:val="00751B98"/>
    <w:rsid w:val="007712B5"/>
    <w:rsid w:val="00777671"/>
    <w:rsid w:val="007839D8"/>
    <w:rsid w:val="00786875"/>
    <w:rsid w:val="00790EE9"/>
    <w:rsid w:val="00793AE3"/>
    <w:rsid w:val="00795DA0"/>
    <w:rsid w:val="00795E50"/>
    <w:rsid w:val="007A2912"/>
    <w:rsid w:val="007B7C5C"/>
    <w:rsid w:val="007C3C10"/>
    <w:rsid w:val="007C4559"/>
    <w:rsid w:val="007D7BF1"/>
    <w:rsid w:val="007F390A"/>
    <w:rsid w:val="008035D2"/>
    <w:rsid w:val="00822E55"/>
    <w:rsid w:val="00823614"/>
    <w:rsid w:val="00836B87"/>
    <w:rsid w:val="008467E6"/>
    <w:rsid w:val="008468BE"/>
    <w:rsid w:val="00851146"/>
    <w:rsid w:val="008516F3"/>
    <w:rsid w:val="00862BCC"/>
    <w:rsid w:val="0087078E"/>
    <w:rsid w:val="00872BBF"/>
    <w:rsid w:val="00876647"/>
    <w:rsid w:val="00886E46"/>
    <w:rsid w:val="00893FAB"/>
    <w:rsid w:val="0089694A"/>
    <w:rsid w:val="008A1572"/>
    <w:rsid w:val="008D06D3"/>
    <w:rsid w:val="008D0DEF"/>
    <w:rsid w:val="008D5BBD"/>
    <w:rsid w:val="008D72B8"/>
    <w:rsid w:val="008E0851"/>
    <w:rsid w:val="008F2115"/>
    <w:rsid w:val="009115F8"/>
    <w:rsid w:val="00914D6A"/>
    <w:rsid w:val="00925D8F"/>
    <w:rsid w:val="00927DDA"/>
    <w:rsid w:val="0093375F"/>
    <w:rsid w:val="00940B47"/>
    <w:rsid w:val="009450BC"/>
    <w:rsid w:val="00961C39"/>
    <w:rsid w:val="0097020C"/>
    <w:rsid w:val="009900A0"/>
    <w:rsid w:val="009A089B"/>
    <w:rsid w:val="009A3330"/>
    <w:rsid w:val="009A48E4"/>
    <w:rsid w:val="009A5DF1"/>
    <w:rsid w:val="009A6DCF"/>
    <w:rsid w:val="009B082A"/>
    <w:rsid w:val="009B7871"/>
    <w:rsid w:val="009C4D8B"/>
    <w:rsid w:val="009C511E"/>
    <w:rsid w:val="009C5C23"/>
    <w:rsid w:val="009C650C"/>
    <w:rsid w:val="009D3028"/>
    <w:rsid w:val="009E2F6A"/>
    <w:rsid w:val="009E3209"/>
    <w:rsid w:val="009E78BF"/>
    <w:rsid w:val="009F1B89"/>
    <w:rsid w:val="009F1CD9"/>
    <w:rsid w:val="00A1051E"/>
    <w:rsid w:val="00A15A47"/>
    <w:rsid w:val="00A40927"/>
    <w:rsid w:val="00A424BC"/>
    <w:rsid w:val="00A533BE"/>
    <w:rsid w:val="00A55087"/>
    <w:rsid w:val="00A707DB"/>
    <w:rsid w:val="00A71DF3"/>
    <w:rsid w:val="00A80EE7"/>
    <w:rsid w:val="00A82BF2"/>
    <w:rsid w:val="00AC5271"/>
    <w:rsid w:val="00AC572E"/>
    <w:rsid w:val="00AC5F51"/>
    <w:rsid w:val="00AC6C0B"/>
    <w:rsid w:val="00AC72EC"/>
    <w:rsid w:val="00AD2BF7"/>
    <w:rsid w:val="00AD49DB"/>
    <w:rsid w:val="00AE1381"/>
    <w:rsid w:val="00AF6457"/>
    <w:rsid w:val="00B05512"/>
    <w:rsid w:val="00B11D70"/>
    <w:rsid w:val="00B11EA9"/>
    <w:rsid w:val="00B12BF3"/>
    <w:rsid w:val="00B1775F"/>
    <w:rsid w:val="00B2052B"/>
    <w:rsid w:val="00B26ADB"/>
    <w:rsid w:val="00B31DA5"/>
    <w:rsid w:val="00B5181D"/>
    <w:rsid w:val="00B71054"/>
    <w:rsid w:val="00B81DA2"/>
    <w:rsid w:val="00B93AEA"/>
    <w:rsid w:val="00BA155D"/>
    <w:rsid w:val="00BA234A"/>
    <w:rsid w:val="00BA56BF"/>
    <w:rsid w:val="00BB332F"/>
    <w:rsid w:val="00BC3576"/>
    <w:rsid w:val="00BD0AA3"/>
    <w:rsid w:val="00BE07D4"/>
    <w:rsid w:val="00BE0E0C"/>
    <w:rsid w:val="00BE5A37"/>
    <w:rsid w:val="00BF1923"/>
    <w:rsid w:val="00BF534E"/>
    <w:rsid w:val="00BF6788"/>
    <w:rsid w:val="00BF7182"/>
    <w:rsid w:val="00C037B4"/>
    <w:rsid w:val="00C07617"/>
    <w:rsid w:val="00C17E23"/>
    <w:rsid w:val="00C27BDA"/>
    <w:rsid w:val="00C37831"/>
    <w:rsid w:val="00C51CD2"/>
    <w:rsid w:val="00C52D81"/>
    <w:rsid w:val="00C53807"/>
    <w:rsid w:val="00C76AA3"/>
    <w:rsid w:val="00C814FB"/>
    <w:rsid w:val="00C85A3F"/>
    <w:rsid w:val="00C90068"/>
    <w:rsid w:val="00C95822"/>
    <w:rsid w:val="00CA2898"/>
    <w:rsid w:val="00CA2B8E"/>
    <w:rsid w:val="00CB16E8"/>
    <w:rsid w:val="00CB62A6"/>
    <w:rsid w:val="00CC207D"/>
    <w:rsid w:val="00CC576C"/>
    <w:rsid w:val="00CC7972"/>
    <w:rsid w:val="00CD5274"/>
    <w:rsid w:val="00CE2B0F"/>
    <w:rsid w:val="00CF1903"/>
    <w:rsid w:val="00CF27FA"/>
    <w:rsid w:val="00D12561"/>
    <w:rsid w:val="00D175EB"/>
    <w:rsid w:val="00D21355"/>
    <w:rsid w:val="00D21408"/>
    <w:rsid w:val="00D21A8A"/>
    <w:rsid w:val="00D25E2F"/>
    <w:rsid w:val="00D3128F"/>
    <w:rsid w:val="00D4749F"/>
    <w:rsid w:val="00D52C85"/>
    <w:rsid w:val="00D85409"/>
    <w:rsid w:val="00D87ABB"/>
    <w:rsid w:val="00D91C5A"/>
    <w:rsid w:val="00DA19B3"/>
    <w:rsid w:val="00DA4E36"/>
    <w:rsid w:val="00DB2915"/>
    <w:rsid w:val="00DB507A"/>
    <w:rsid w:val="00DB7AF6"/>
    <w:rsid w:val="00DC68E4"/>
    <w:rsid w:val="00DD2F88"/>
    <w:rsid w:val="00DD4014"/>
    <w:rsid w:val="00DD4922"/>
    <w:rsid w:val="00DE172B"/>
    <w:rsid w:val="00DE19F4"/>
    <w:rsid w:val="00DF2F24"/>
    <w:rsid w:val="00DF4CC4"/>
    <w:rsid w:val="00E0223A"/>
    <w:rsid w:val="00E1770D"/>
    <w:rsid w:val="00E20C5B"/>
    <w:rsid w:val="00E20D8C"/>
    <w:rsid w:val="00E26698"/>
    <w:rsid w:val="00E319EA"/>
    <w:rsid w:val="00E32EF3"/>
    <w:rsid w:val="00E516E1"/>
    <w:rsid w:val="00E62784"/>
    <w:rsid w:val="00E66EE0"/>
    <w:rsid w:val="00E8322A"/>
    <w:rsid w:val="00E85552"/>
    <w:rsid w:val="00E87E98"/>
    <w:rsid w:val="00EB3176"/>
    <w:rsid w:val="00EB5A8F"/>
    <w:rsid w:val="00EC65D3"/>
    <w:rsid w:val="00EC6A52"/>
    <w:rsid w:val="00EC77FD"/>
    <w:rsid w:val="00ED2ACD"/>
    <w:rsid w:val="00ED4AEF"/>
    <w:rsid w:val="00ED586C"/>
    <w:rsid w:val="00EE3A1E"/>
    <w:rsid w:val="00EF2FA8"/>
    <w:rsid w:val="00F070F9"/>
    <w:rsid w:val="00F077A0"/>
    <w:rsid w:val="00F15DF2"/>
    <w:rsid w:val="00F17973"/>
    <w:rsid w:val="00F26DD7"/>
    <w:rsid w:val="00F32614"/>
    <w:rsid w:val="00F34637"/>
    <w:rsid w:val="00F57D18"/>
    <w:rsid w:val="00F76ECC"/>
    <w:rsid w:val="00FC4378"/>
    <w:rsid w:val="00FC4C41"/>
    <w:rsid w:val="00FC7941"/>
    <w:rsid w:val="00FD330D"/>
    <w:rsid w:val="00FD6C34"/>
    <w:rsid w:val="00FD79B1"/>
    <w:rsid w:val="00FE4448"/>
    <w:rsid w:val="00FE6BC4"/>
    <w:rsid w:val="00FF0704"/>
    <w:rsid w:val="00FF138F"/>
    <w:rsid w:val="00FF5D65"/>
    <w:rsid w:val="00FF60A6"/>
    <w:rsid w:val="00FF64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5263"/>
  <w15:chartTrackingRefBased/>
  <w15:docId w15:val="{76A52E5D-0D3D-410C-9CF5-C6D1824A2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342F"/>
    <w:pPr>
      <w:spacing w:after="0" w:line="240" w:lineRule="auto"/>
    </w:pPr>
    <w:rPr>
      <w:rFonts w:ascii="Trebuchet MS" w:eastAsia="Times New Roman" w:hAnsi="Trebuchet MS" w:cs="Arial"/>
      <w:color w:val="000000"/>
      <w:kern w:val="0"/>
      <w:sz w:val="20"/>
      <w:szCs w:val="20"/>
      <w:lang w:eastAsia="pl-PL"/>
      <w14:ligatures w14:val="none"/>
    </w:rPr>
  </w:style>
  <w:style w:type="paragraph" w:styleId="Nagwek1">
    <w:name w:val="heading 1"/>
    <w:basedOn w:val="Normalny"/>
    <w:next w:val="Normalny"/>
    <w:link w:val="Nagwek1Znak"/>
    <w:uiPriority w:val="9"/>
    <w:qFormat/>
    <w:rsid w:val="00CC797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CC797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CC797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CC797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CC797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CC797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CC797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CC797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CC7972"/>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97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C797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97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97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97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97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97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97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972"/>
    <w:rPr>
      <w:rFonts w:eastAsiaTheme="majorEastAsia" w:cstheme="majorBidi"/>
      <w:color w:val="272727" w:themeColor="text1" w:themeTint="D8"/>
    </w:rPr>
  </w:style>
  <w:style w:type="paragraph" w:styleId="Tytu">
    <w:name w:val="Title"/>
    <w:basedOn w:val="Normalny"/>
    <w:next w:val="Normalny"/>
    <w:link w:val="TytuZnak"/>
    <w:uiPriority w:val="10"/>
    <w:qFormat/>
    <w:rsid w:val="00CC7972"/>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CC797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9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CC797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97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CC7972"/>
    <w:rPr>
      <w:i/>
      <w:iCs/>
      <w:color w:val="404040" w:themeColor="text1" w:themeTint="BF"/>
    </w:rPr>
  </w:style>
  <w:style w:type="paragraph" w:styleId="Akapitzlist">
    <w:name w:val="List Paragraph"/>
    <w:basedOn w:val="Normalny"/>
    <w:uiPriority w:val="34"/>
    <w:qFormat/>
    <w:rsid w:val="00CC7972"/>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Wyrnienieintensywne">
    <w:name w:val="Intense Emphasis"/>
    <w:basedOn w:val="Domylnaczcionkaakapitu"/>
    <w:uiPriority w:val="21"/>
    <w:qFormat/>
    <w:rsid w:val="00CC7972"/>
    <w:rPr>
      <w:i/>
      <w:iCs/>
      <w:color w:val="0F4761" w:themeColor="accent1" w:themeShade="BF"/>
    </w:rPr>
  </w:style>
  <w:style w:type="paragraph" w:styleId="Cytatintensywny">
    <w:name w:val="Intense Quote"/>
    <w:basedOn w:val="Normalny"/>
    <w:next w:val="Normalny"/>
    <w:link w:val="CytatintensywnyZnak"/>
    <w:uiPriority w:val="30"/>
    <w:qFormat/>
    <w:rsid w:val="00CC797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CC7972"/>
    <w:rPr>
      <w:i/>
      <w:iCs/>
      <w:color w:val="0F4761" w:themeColor="accent1" w:themeShade="BF"/>
    </w:rPr>
  </w:style>
  <w:style w:type="character" w:styleId="Odwoanieintensywne">
    <w:name w:val="Intense Reference"/>
    <w:basedOn w:val="Domylnaczcionkaakapitu"/>
    <w:uiPriority w:val="32"/>
    <w:qFormat/>
    <w:rsid w:val="00CC7972"/>
    <w:rPr>
      <w:b/>
      <w:bCs/>
      <w:smallCaps/>
      <w:color w:val="0F4761" w:themeColor="accent1" w:themeShade="BF"/>
      <w:spacing w:val="5"/>
    </w:rPr>
  </w:style>
  <w:style w:type="paragraph" w:styleId="Nagwek">
    <w:name w:val="header"/>
    <w:basedOn w:val="Normalny"/>
    <w:link w:val="NagwekZnak"/>
    <w:uiPriority w:val="99"/>
    <w:rsid w:val="006F342F"/>
    <w:pPr>
      <w:tabs>
        <w:tab w:val="center" w:pos="4536"/>
        <w:tab w:val="right" w:pos="9072"/>
      </w:tabs>
    </w:pPr>
  </w:style>
  <w:style w:type="character" w:customStyle="1" w:styleId="NagwekZnak">
    <w:name w:val="Nagłówek Znak"/>
    <w:basedOn w:val="Domylnaczcionkaakapitu"/>
    <w:link w:val="Nagwek"/>
    <w:uiPriority w:val="99"/>
    <w:rsid w:val="006F342F"/>
    <w:rPr>
      <w:rFonts w:ascii="Trebuchet MS" w:eastAsia="Times New Roman" w:hAnsi="Trebuchet MS" w:cs="Arial"/>
      <w:color w:val="000000"/>
      <w:kern w:val="0"/>
      <w:sz w:val="20"/>
      <w:szCs w:val="20"/>
      <w:lang w:eastAsia="pl-PL"/>
      <w14:ligatures w14:val="none"/>
    </w:rPr>
  </w:style>
  <w:style w:type="paragraph" w:styleId="Stopka">
    <w:name w:val="footer"/>
    <w:basedOn w:val="Normalny"/>
    <w:link w:val="StopkaZnak"/>
    <w:uiPriority w:val="99"/>
    <w:rsid w:val="006F342F"/>
    <w:pPr>
      <w:tabs>
        <w:tab w:val="center" w:pos="4536"/>
        <w:tab w:val="right" w:pos="9072"/>
      </w:tabs>
    </w:pPr>
  </w:style>
  <w:style w:type="character" w:customStyle="1" w:styleId="StopkaZnak">
    <w:name w:val="Stopka Znak"/>
    <w:basedOn w:val="Domylnaczcionkaakapitu"/>
    <w:link w:val="Stopka"/>
    <w:uiPriority w:val="99"/>
    <w:rsid w:val="006F342F"/>
    <w:rPr>
      <w:rFonts w:ascii="Trebuchet MS" w:eastAsia="Times New Roman" w:hAnsi="Trebuchet MS" w:cs="Arial"/>
      <w:color w:val="000000"/>
      <w:kern w:val="0"/>
      <w:sz w:val="20"/>
      <w:szCs w:val="20"/>
      <w:lang w:eastAsia="pl-PL"/>
      <w14:ligatures w14:val="none"/>
    </w:rPr>
  </w:style>
  <w:style w:type="character" w:styleId="Hipercze">
    <w:name w:val="Hyperlink"/>
    <w:semiHidden/>
    <w:rsid w:val="006F342F"/>
    <w:rPr>
      <w:rFonts w:cs="Times New Roman"/>
      <w:color w:val="0000FF"/>
      <w:u w:val="single"/>
    </w:rPr>
  </w:style>
  <w:style w:type="paragraph" w:styleId="NormalnyWeb">
    <w:name w:val="Normal (Web)"/>
    <w:basedOn w:val="Normalny"/>
    <w:uiPriority w:val="99"/>
    <w:semiHidden/>
    <w:unhideWhenUsed/>
    <w:rsid w:val="00E319EA"/>
    <w:pPr>
      <w:spacing w:before="100" w:beforeAutospacing="1" w:after="100" w:afterAutospacing="1"/>
    </w:pPr>
    <w:rPr>
      <w:rFonts w:ascii="Times New Roman" w:hAnsi="Times New Roman" w:cs="Times New Roman"/>
      <w:color w:val="auto"/>
      <w:sz w:val="24"/>
      <w:szCs w:val="24"/>
    </w:rPr>
  </w:style>
  <w:style w:type="character" w:styleId="Odwoaniedokomentarza">
    <w:name w:val="annotation reference"/>
    <w:basedOn w:val="Domylnaczcionkaakapitu"/>
    <w:uiPriority w:val="99"/>
    <w:semiHidden/>
    <w:unhideWhenUsed/>
    <w:rsid w:val="00823614"/>
    <w:rPr>
      <w:sz w:val="16"/>
      <w:szCs w:val="16"/>
    </w:rPr>
  </w:style>
  <w:style w:type="paragraph" w:styleId="Tekstkomentarza">
    <w:name w:val="annotation text"/>
    <w:basedOn w:val="Normalny"/>
    <w:link w:val="TekstkomentarzaZnak"/>
    <w:uiPriority w:val="99"/>
    <w:unhideWhenUsed/>
    <w:rsid w:val="00823614"/>
  </w:style>
  <w:style w:type="character" w:customStyle="1" w:styleId="TekstkomentarzaZnak">
    <w:name w:val="Tekst komentarza Znak"/>
    <w:basedOn w:val="Domylnaczcionkaakapitu"/>
    <w:link w:val="Tekstkomentarza"/>
    <w:uiPriority w:val="99"/>
    <w:rsid w:val="00823614"/>
    <w:rPr>
      <w:rFonts w:ascii="Trebuchet MS" w:eastAsia="Times New Roman" w:hAnsi="Trebuchet MS" w:cs="Arial"/>
      <w:color w:val="000000"/>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823614"/>
    <w:rPr>
      <w:b/>
      <w:bCs/>
    </w:rPr>
  </w:style>
  <w:style w:type="character" w:customStyle="1" w:styleId="TematkomentarzaZnak">
    <w:name w:val="Temat komentarza Znak"/>
    <w:basedOn w:val="TekstkomentarzaZnak"/>
    <w:link w:val="Tematkomentarza"/>
    <w:uiPriority w:val="99"/>
    <w:semiHidden/>
    <w:rsid w:val="00823614"/>
    <w:rPr>
      <w:rFonts w:ascii="Trebuchet MS" w:eastAsia="Times New Roman" w:hAnsi="Trebuchet MS" w:cs="Arial"/>
      <w:b/>
      <w:bCs/>
      <w:color w:val="000000"/>
      <w:kern w:val="0"/>
      <w:sz w:val="20"/>
      <w:szCs w:val="20"/>
      <w:lang w:eastAsia="pl-PL"/>
      <w14:ligatures w14:val="none"/>
    </w:rPr>
  </w:style>
  <w:style w:type="paragraph" w:styleId="Poprawka">
    <w:name w:val="Revision"/>
    <w:hidden/>
    <w:uiPriority w:val="99"/>
    <w:semiHidden/>
    <w:rsid w:val="00223566"/>
    <w:pPr>
      <w:spacing w:after="0" w:line="240" w:lineRule="auto"/>
    </w:pPr>
    <w:rPr>
      <w:rFonts w:ascii="Trebuchet MS" w:eastAsia="Times New Roman" w:hAnsi="Trebuchet MS" w:cs="Arial"/>
      <w:color w:val="000000"/>
      <w:kern w:val="0"/>
      <w:sz w:val="20"/>
      <w:szCs w:val="20"/>
      <w:lang w:eastAsia="pl-PL"/>
      <w14:ligatures w14:val="none"/>
    </w:rPr>
  </w:style>
  <w:style w:type="character" w:styleId="Nierozpoznanawzmianka">
    <w:name w:val="Unresolved Mention"/>
    <w:basedOn w:val="Domylnaczcionkaakapitu"/>
    <w:uiPriority w:val="99"/>
    <w:semiHidden/>
    <w:unhideWhenUsed/>
    <w:rsid w:val="00DB2915"/>
    <w:rPr>
      <w:color w:val="605E5C"/>
      <w:shd w:val="clear" w:color="auto" w:fill="E1DFDD"/>
    </w:rPr>
  </w:style>
  <w:style w:type="paragraph" w:styleId="Tekstprzypisukocowego">
    <w:name w:val="endnote text"/>
    <w:basedOn w:val="Normalny"/>
    <w:link w:val="TekstprzypisukocowegoZnak"/>
    <w:uiPriority w:val="99"/>
    <w:semiHidden/>
    <w:unhideWhenUsed/>
    <w:rsid w:val="00EC6A52"/>
  </w:style>
  <w:style w:type="character" w:customStyle="1" w:styleId="TekstprzypisukocowegoZnak">
    <w:name w:val="Tekst przypisu końcowego Znak"/>
    <w:basedOn w:val="Domylnaczcionkaakapitu"/>
    <w:link w:val="Tekstprzypisukocowego"/>
    <w:uiPriority w:val="99"/>
    <w:semiHidden/>
    <w:rsid w:val="00EC6A52"/>
    <w:rPr>
      <w:rFonts w:ascii="Trebuchet MS" w:eastAsia="Times New Roman" w:hAnsi="Trebuchet MS" w:cs="Arial"/>
      <w:color w:val="000000"/>
      <w:kern w:val="0"/>
      <w:sz w:val="20"/>
      <w:szCs w:val="20"/>
      <w:lang w:eastAsia="pl-PL"/>
      <w14:ligatures w14:val="none"/>
    </w:rPr>
  </w:style>
  <w:style w:type="character" w:styleId="Odwoanieprzypisukocowego">
    <w:name w:val="endnote reference"/>
    <w:basedOn w:val="Domylnaczcionkaakapitu"/>
    <w:uiPriority w:val="99"/>
    <w:semiHidden/>
    <w:unhideWhenUsed/>
    <w:rsid w:val="00EC6A52"/>
    <w:rPr>
      <w:vertAlign w:val="superscript"/>
    </w:rPr>
  </w:style>
  <w:style w:type="table" w:styleId="Tabela-Siatka">
    <w:name w:val="Table Grid"/>
    <w:basedOn w:val="Standardowy"/>
    <w:rsid w:val="007A2912"/>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linkedin.com/company/zp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pf.pl/naduzycia-w-sektorze-finansowy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73A51-9BDB-44B8-A38A-5E7AFED6038A}">
  <ds:schemaRefs>
    <ds:schemaRef ds:uri="http://schemas.openxmlformats.org/officeDocument/2006/bibliography"/>
  </ds:schemaRefs>
</ds:datastoreItem>
</file>

<file path=docMetadata/LabelInfo.xml><?xml version="1.0" encoding="utf-8"?>
<clbl:labelList xmlns:clbl="http://schemas.microsoft.com/office/2020/mipLabelMetadata">
  <clbl:label id="{934991e8-d9e2-4a4f-98a9-113535804f33}" enabled="1" method="Standard" siteId="{6b306b82-367b-4012-b72d-fbd44436868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1012</Words>
  <Characters>6074</Characters>
  <Application>Microsoft Office Word</Application>
  <DocSecurity>0</DocSecurity>
  <Lines>50</Lines>
  <Paragraphs>14</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7072</CharactersWithSpaces>
  <SharedDoc>false</SharedDoc>
  <HLinks>
    <vt:vector size="12" baseType="variant">
      <vt:variant>
        <vt:i4>6619194</vt:i4>
      </vt:variant>
      <vt:variant>
        <vt:i4>3</vt:i4>
      </vt:variant>
      <vt:variant>
        <vt:i4>0</vt:i4>
      </vt:variant>
      <vt:variant>
        <vt:i4>5</vt:i4>
      </vt:variant>
      <vt:variant>
        <vt:lpwstr>http://www.linkedin.com/company/zpf</vt:lpwstr>
      </vt:variant>
      <vt:variant>
        <vt:lpwstr/>
      </vt:variant>
      <vt:variant>
        <vt:i4>8257649</vt:i4>
      </vt:variant>
      <vt:variant>
        <vt:i4>0</vt:i4>
      </vt:variant>
      <vt:variant>
        <vt:i4>0</vt:i4>
      </vt:variant>
      <vt:variant>
        <vt:i4>5</vt:i4>
      </vt:variant>
      <vt:variant>
        <vt:lpwstr>https://zpf.pl/sytuacja-na-rynku-consumer-finance/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Frąckowiak</dc:creator>
  <cp:keywords/>
  <dc:description/>
  <cp:lastModifiedBy>Agnieszka Frąckowiak</cp:lastModifiedBy>
  <cp:revision>2</cp:revision>
  <cp:lastPrinted>2026-06-15T08:40:00Z</cp:lastPrinted>
  <dcterms:created xsi:type="dcterms:W3CDTF">2026-10-26T12:35:00Z</dcterms:created>
  <dcterms:modified xsi:type="dcterms:W3CDTF">2026-10-26T12:35:00Z</dcterms:modified>
</cp:coreProperties>
</file>