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4C743E" w14:textId="19298A85" w:rsidR="00D24642" w:rsidRPr="00F15133" w:rsidRDefault="00D24642" w:rsidP="0018770E">
      <w:pPr>
        <w:jc w:val="right"/>
        <w:rPr>
          <w:rFonts w:ascii="Calibri" w:hAnsi="Calibri" w:cs="Calibri"/>
          <w:bCs/>
          <w:color w:val="002060"/>
        </w:rPr>
      </w:pPr>
      <w:r w:rsidRPr="00F15133">
        <w:rPr>
          <w:rFonts w:ascii="Calibri" w:hAnsi="Calibri" w:cs="Calibri"/>
          <w:b/>
          <w:color w:val="171717" w:themeColor="background2" w:themeShade="1A"/>
        </w:rPr>
        <w:tab/>
      </w:r>
      <w:r w:rsidRPr="00F15133">
        <w:rPr>
          <w:rFonts w:ascii="Calibri" w:hAnsi="Calibri" w:cs="Calibri"/>
          <w:b/>
          <w:color w:val="171717" w:themeColor="background2" w:themeShade="1A"/>
        </w:rPr>
        <w:tab/>
      </w:r>
      <w:r w:rsidRPr="00F15133">
        <w:rPr>
          <w:rFonts w:ascii="Calibri" w:hAnsi="Calibri" w:cs="Calibri"/>
          <w:b/>
          <w:color w:val="171717" w:themeColor="background2" w:themeShade="1A"/>
        </w:rPr>
        <w:tab/>
      </w:r>
      <w:r w:rsidRPr="00F15133">
        <w:rPr>
          <w:rFonts w:ascii="Calibri" w:hAnsi="Calibri" w:cs="Calibri"/>
          <w:b/>
          <w:color w:val="171717" w:themeColor="background2" w:themeShade="1A"/>
        </w:rPr>
        <w:tab/>
      </w:r>
      <w:r w:rsidRPr="00F15133">
        <w:rPr>
          <w:rFonts w:ascii="Calibri" w:hAnsi="Calibri" w:cs="Calibri"/>
          <w:b/>
          <w:color w:val="171717" w:themeColor="background2" w:themeShade="1A"/>
        </w:rPr>
        <w:tab/>
      </w:r>
      <w:r w:rsidRPr="00F15133">
        <w:rPr>
          <w:rFonts w:ascii="Calibri" w:hAnsi="Calibri" w:cs="Calibri"/>
          <w:b/>
          <w:color w:val="171717" w:themeColor="background2" w:themeShade="1A"/>
        </w:rPr>
        <w:tab/>
      </w:r>
      <w:r w:rsidRPr="00F15133">
        <w:rPr>
          <w:rFonts w:ascii="Calibri" w:hAnsi="Calibri" w:cs="Calibri"/>
          <w:b/>
          <w:color w:val="171717" w:themeColor="background2" w:themeShade="1A"/>
        </w:rPr>
        <w:tab/>
      </w:r>
      <w:r w:rsidRPr="00F15133">
        <w:rPr>
          <w:rFonts w:ascii="Calibri" w:hAnsi="Calibri" w:cs="Calibri"/>
          <w:b/>
          <w:color w:val="171717" w:themeColor="background2" w:themeShade="1A"/>
        </w:rPr>
        <w:tab/>
      </w:r>
      <w:r w:rsidRPr="00F15133">
        <w:rPr>
          <w:rFonts w:ascii="Calibri" w:hAnsi="Calibri" w:cs="Calibri"/>
          <w:b/>
          <w:color w:val="171717" w:themeColor="background2" w:themeShade="1A"/>
        </w:rPr>
        <w:tab/>
      </w:r>
      <w:r w:rsidRPr="00F15133">
        <w:rPr>
          <w:rFonts w:ascii="Calibri" w:hAnsi="Calibri" w:cs="Calibri"/>
          <w:b/>
          <w:color w:val="171717" w:themeColor="background2" w:themeShade="1A"/>
        </w:rPr>
        <w:tab/>
      </w:r>
      <w:r w:rsidRPr="00F15133">
        <w:rPr>
          <w:rFonts w:ascii="Calibri" w:hAnsi="Calibri" w:cs="Calibri"/>
          <w:b/>
          <w:color w:val="171717" w:themeColor="background2" w:themeShade="1A"/>
        </w:rPr>
        <w:tab/>
      </w:r>
      <w:r w:rsidRPr="00F15133">
        <w:rPr>
          <w:rFonts w:ascii="Calibri" w:hAnsi="Calibri" w:cs="Calibri"/>
          <w:b/>
          <w:color w:val="171717" w:themeColor="background2" w:themeShade="1A"/>
        </w:rPr>
        <w:tab/>
      </w:r>
      <w:r w:rsidRPr="00F15133">
        <w:rPr>
          <w:rFonts w:ascii="Calibri" w:hAnsi="Calibri" w:cs="Calibri"/>
          <w:b/>
          <w:color w:val="171717" w:themeColor="background2" w:themeShade="1A"/>
        </w:rPr>
        <w:tab/>
      </w:r>
      <w:r w:rsidRPr="00F15133">
        <w:rPr>
          <w:rFonts w:ascii="Calibri" w:hAnsi="Calibri" w:cs="Calibri"/>
          <w:b/>
          <w:color w:val="171717" w:themeColor="background2" w:themeShade="1A"/>
        </w:rPr>
        <w:tab/>
      </w:r>
      <w:r w:rsidRPr="00F15133">
        <w:rPr>
          <w:rFonts w:ascii="Calibri" w:hAnsi="Calibri" w:cs="Calibri"/>
          <w:b/>
          <w:color w:val="171717" w:themeColor="background2" w:themeShade="1A"/>
        </w:rPr>
        <w:tab/>
      </w:r>
      <w:r w:rsidRPr="00F15133">
        <w:rPr>
          <w:rFonts w:ascii="Calibri" w:hAnsi="Calibri" w:cs="Calibri"/>
          <w:bCs/>
          <w:color w:val="002060"/>
        </w:rPr>
        <w:t xml:space="preserve">Gdańsk, </w:t>
      </w:r>
      <w:r w:rsidR="00CD0BDA" w:rsidRPr="00F15133">
        <w:rPr>
          <w:rFonts w:ascii="Calibri" w:hAnsi="Calibri" w:cs="Calibri"/>
          <w:bCs/>
          <w:color w:val="002060"/>
        </w:rPr>
        <w:t>2</w:t>
      </w:r>
      <w:r w:rsidR="006122FB">
        <w:rPr>
          <w:rFonts w:ascii="Calibri" w:hAnsi="Calibri" w:cs="Calibri"/>
          <w:bCs/>
          <w:color w:val="002060"/>
        </w:rPr>
        <w:t>8</w:t>
      </w:r>
      <w:r w:rsidR="00CD0BDA" w:rsidRPr="00F15133">
        <w:rPr>
          <w:rFonts w:ascii="Calibri" w:hAnsi="Calibri" w:cs="Calibri"/>
          <w:bCs/>
          <w:color w:val="002060"/>
        </w:rPr>
        <w:t>.</w:t>
      </w:r>
      <w:r w:rsidR="00F62098" w:rsidRPr="00F15133">
        <w:rPr>
          <w:rFonts w:ascii="Calibri" w:hAnsi="Calibri" w:cs="Calibri"/>
          <w:bCs/>
          <w:color w:val="002060"/>
        </w:rPr>
        <w:t>10</w:t>
      </w:r>
      <w:r w:rsidRPr="00F15133">
        <w:rPr>
          <w:rFonts w:ascii="Calibri" w:hAnsi="Calibri" w:cs="Calibri"/>
          <w:bCs/>
          <w:color w:val="002060"/>
        </w:rPr>
        <w:t>.20</w:t>
      </w:r>
      <w:r w:rsidR="00F92323" w:rsidRPr="00F15133">
        <w:rPr>
          <w:rFonts w:ascii="Calibri" w:hAnsi="Calibri" w:cs="Calibri"/>
          <w:bCs/>
          <w:color w:val="002060"/>
        </w:rPr>
        <w:t>2</w:t>
      </w:r>
      <w:r w:rsidR="00EE6AB9" w:rsidRPr="00F15133">
        <w:rPr>
          <w:rFonts w:ascii="Calibri" w:hAnsi="Calibri" w:cs="Calibri"/>
          <w:bCs/>
          <w:color w:val="002060"/>
        </w:rPr>
        <w:t>6</w:t>
      </w:r>
    </w:p>
    <w:p w14:paraId="0414345C" w14:textId="77777777" w:rsidR="004147EA" w:rsidRPr="00F15133" w:rsidRDefault="004147EA" w:rsidP="00D24642">
      <w:pPr>
        <w:jc w:val="both"/>
        <w:rPr>
          <w:rFonts w:ascii="Calibri" w:hAnsi="Calibri" w:cs="Calibri"/>
          <w:color w:val="002060"/>
        </w:rPr>
      </w:pPr>
    </w:p>
    <w:p w14:paraId="4E209616" w14:textId="5D2B8986" w:rsidR="00C93A0D" w:rsidRPr="00F15133" w:rsidRDefault="00790E33" w:rsidP="0018770E">
      <w:pPr>
        <w:jc w:val="both"/>
        <w:rPr>
          <w:rFonts w:ascii="Calibri" w:hAnsi="Calibri" w:cs="Calibri"/>
          <w:color w:val="002060"/>
          <w:u w:val="single"/>
        </w:rPr>
      </w:pPr>
      <w:r w:rsidRPr="00F15133">
        <w:rPr>
          <w:rFonts w:ascii="Calibri" w:hAnsi="Calibri" w:cs="Calibri"/>
          <w:color w:val="002060"/>
          <w:u w:val="single"/>
        </w:rPr>
        <w:t>Informacja prasowa</w:t>
      </w:r>
      <w:r w:rsidR="00EE6AB9" w:rsidRPr="00F15133">
        <w:rPr>
          <w:rFonts w:ascii="Calibri" w:hAnsi="Calibri" w:cs="Calibri"/>
          <w:color w:val="002060"/>
          <w:u w:val="single"/>
        </w:rPr>
        <w:t>:</w:t>
      </w:r>
    </w:p>
    <w:p w14:paraId="6B74CE10" w14:textId="77777777" w:rsidR="0018770E" w:rsidRPr="00F15133" w:rsidRDefault="0018770E" w:rsidP="0018770E">
      <w:pPr>
        <w:jc w:val="both"/>
        <w:rPr>
          <w:rFonts w:ascii="Calibri" w:hAnsi="Calibri" w:cs="Calibri"/>
          <w:color w:val="002060"/>
          <w:u w:val="single"/>
        </w:rPr>
      </w:pPr>
    </w:p>
    <w:p w14:paraId="3DE002C1" w14:textId="77777777" w:rsidR="00C15AAA" w:rsidRPr="00F15133" w:rsidRDefault="00C15AAA" w:rsidP="0018770E">
      <w:pPr>
        <w:jc w:val="both"/>
        <w:rPr>
          <w:rFonts w:ascii="Calibri" w:hAnsi="Calibri" w:cs="Calibri"/>
          <w:color w:val="002060"/>
          <w:u w:val="single"/>
        </w:rPr>
      </w:pPr>
    </w:p>
    <w:p w14:paraId="0524AD0E" w14:textId="68653DAE" w:rsidR="00F15133" w:rsidRPr="00E45F38" w:rsidRDefault="00F15133" w:rsidP="00E45F38">
      <w:pPr>
        <w:pStyle w:val="NormalnyWeb"/>
        <w:shd w:val="clear" w:color="auto" w:fill="FFFFFF"/>
        <w:jc w:val="center"/>
        <w:rPr>
          <w:rFonts w:ascii="Calibri" w:hAnsi="Calibri" w:cs="Calibri"/>
          <w:b/>
          <w:bCs/>
          <w:color w:val="002060"/>
          <w:sz w:val="26"/>
          <w:szCs w:val="26"/>
        </w:rPr>
      </w:pPr>
      <w:r w:rsidRPr="00E45F38">
        <w:rPr>
          <w:rFonts w:ascii="Calibri" w:hAnsi="Calibri" w:cs="Calibri"/>
          <w:b/>
          <w:bCs/>
          <w:color w:val="002060"/>
          <w:sz w:val="26"/>
          <w:szCs w:val="26"/>
        </w:rPr>
        <w:t>Mit 40 godzin pracy. Różnica między branżami przekracza 340 godzin rocznie</w:t>
      </w:r>
    </w:p>
    <w:p w14:paraId="258FD745" w14:textId="092866C1" w:rsidR="0080712A" w:rsidRPr="00E45F38" w:rsidRDefault="00A91B38" w:rsidP="00E45F38">
      <w:pPr>
        <w:pStyle w:val="NormalnyWeb"/>
        <w:shd w:val="clear" w:color="auto" w:fill="FFFFFF"/>
        <w:jc w:val="both"/>
        <w:rPr>
          <w:rFonts w:ascii="Calibri" w:hAnsi="Calibri" w:cs="Calibri"/>
          <w:b/>
          <w:bCs/>
          <w:color w:val="002060"/>
        </w:rPr>
      </w:pPr>
      <w:r w:rsidRPr="00E45F38">
        <w:rPr>
          <w:rStyle w:val="Pogrubienie"/>
          <w:rFonts w:ascii="Calibri" w:hAnsi="Calibri" w:cs="Calibri"/>
          <w:color w:val="002060"/>
        </w:rPr>
        <w:t>40 godzin tygodniowo i 160 godzin miesięcznie – tak często wyobrażamy sobie standardowy etat. Dane GUS pokazują jednak, jak bardzo obciążenie zawodowe może zależeć od branży. W 2025 r. przeciętna liczba godzin przepracowanych w tygodniu w rolnictwie była o 6,6 godziny wyższa niż w kulturze, rozrywce i rekreacji. W skali roku daje to szacunkowo ponad 343 godziny, czyli równowartość około 43 ośmiogodzinnych dni pracy</w:t>
      </w:r>
      <w:r w:rsidR="007A0433">
        <w:rPr>
          <w:rStyle w:val="Pogrubienie"/>
          <w:rFonts w:ascii="Calibri" w:hAnsi="Calibri" w:cs="Calibri"/>
          <w:color w:val="002060"/>
        </w:rPr>
        <w:t xml:space="preserve">, wynika z analiz Grupy Progres. </w:t>
      </w:r>
    </w:p>
    <w:p w14:paraId="04EAECBB" w14:textId="4D3FE930" w:rsidR="00A91B38" w:rsidRDefault="00A91B38" w:rsidP="00E45F38">
      <w:pPr>
        <w:pStyle w:val="NormalnyWeb"/>
        <w:shd w:val="clear" w:color="auto" w:fill="FFFFFF"/>
        <w:jc w:val="both"/>
        <w:rPr>
          <w:rFonts w:ascii="Calibri" w:hAnsi="Calibri" w:cs="Calibri"/>
          <w:color w:val="002060"/>
        </w:rPr>
      </w:pPr>
      <w:r w:rsidRPr="00E45F38">
        <w:rPr>
          <w:rFonts w:ascii="Calibri" w:hAnsi="Calibri" w:cs="Calibri"/>
          <w:color w:val="002060"/>
        </w:rPr>
        <w:t xml:space="preserve">160 godzin miesięcznie to popularny punkt odniesienia, ale nie stały wymiar określony w przepisach. W podstawowym systemie </w:t>
      </w:r>
      <w:r w:rsidR="007A0433">
        <w:rPr>
          <w:rFonts w:ascii="Calibri" w:hAnsi="Calibri" w:cs="Calibri"/>
          <w:color w:val="002060"/>
        </w:rPr>
        <w:t>k</w:t>
      </w:r>
      <w:r w:rsidRPr="00E45F38">
        <w:rPr>
          <w:rFonts w:ascii="Calibri" w:hAnsi="Calibri" w:cs="Calibri"/>
          <w:color w:val="002060"/>
        </w:rPr>
        <w:t xml:space="preserve">odeks pracy ustanawia normę 8 godzin na dobę i 40 godzin tygodniowo w pięciodniowym tygodniu pracy, w przyjętym okresie rozliczeniowym. Miesięczna liczba godzin do przepracowania zależy m.in. od układu kalendarza i świąt. Na faktyczne obciążenie zawodowe wpływają również specyfika branży, organizacja obowiązków, sytuacja pracownika, jego </w:t>
      </w:r>
      <w:r w:rsidR="00E45F38" w:rsidRPr="00E45F38">
        <w:rPr>
          <w:rFonts w:ascii="Calibri" w:hAnsi="Calibri" w:cs="Calibri"/>
          <w:color w:val="002060"/>
        </w:rPr>
        <w:t>narodowość</w:t>
      </w:r>
      <w:r w:rsidRPr="00E45F38">
        <w:rPr>
          <w:rFonts w:ascii="Calibri" w:hAnsi="Calibri" w:cs="Calibri"/>
          <w:color w:val="002060"/>
        </w:rPr>
        <w:t xml:space="preserve"> czy czynniki materialne. </w:t>
      </w:r>
    </w:p>
    <w:p w14:paraId="4C69BDC6" w14:textId="07EF6896" w:rsidR="00E45F38" w:rsidRDefault="00E45F38" w:rsidP="00E45F38">
      <w:pPr>
        <w:pStyle w:val="NormalnyWeb"/>
        <w:shd w:val="clear" w:color="auto" w:fill="FFFFFF"/>
        <w:jc w:val="both"/>
        <w:rPr>
          <w:rFonts w:ascii="Calibri" w:hAnsi="Calibri" w:cs="Calibri"/>
          <w:color w:val="002060"/>
        </w:rPr>
      </w:pPr>
      <w:r w:rsidRPr="00E45F38">
        <w:rPr>
          <w:rFonts w:ascii="Calibri" w:hAnsi="Calibri" w:cs="Calibri"/>
          <w:color w:val="002060"/>
        </w:rPr>
        <w:t xml:space="preserve">– </w:t>
      </w:r>
      <w:r w:rsidRPr="00E45F38">
        <w:rPr>
          <w:rFonts w:ascii="Calibri" w:hAnsi="Calibri" w:cs="Calibri"/>
          <w:i/>
          <w:iCs/>
          <w:color w:val="002060"/>
        </w:rPr>
        <w:t xml:space="preserve">Rynek pracy nie działa według </w:t>
      </w:r>
      <w:r w:rsidR="007A0433">
        <w:rPr>
          <w:rFonts w:ascii="Calibri" w:hAnsi="Calibri" w:cs="Calibri"/>
          <w:i/>
          <w:iCs/>
          <w:color w:val="002060"/>
        </w:rPr>
        <w:t xml:space="preserve">jednego </w:t>
      </w:r>
      <w:r w:rsidRPr="00E45F38">
        <w:rPr>
          <w:rFonts w:ascii="Calibri" w:hAnsi="Calibri" w:cs="Calibri"/>
          <w:i/>
          <w:iCs/>
          <w:color w:val="002060"/>
        </w:rPr>
        <w:t xml:space="preserve">schematu. </w:t>
      </w:r>
      <w:r w:rsidR="007A0433">
        <w:rPr>
          <w:rFonts w:ascii="Calibri" w:hAnsi="Calibri" w:cs="Calibri"/>
          <w:i/>
          <w:iCs/>
          <w:color w:val="002060"/>
        </w:rPr>
        <w:t>Część osób</w:t>
      </w:r>
      <w:r w:rsidRPr="00E45F38">
        <w:rPr>
          <w:rFonts w:ascii="Calibri" w:hAnsi="Calibri" w:cs="Calibri"/>
          <w:i/>
          <w:iCs/>
          <w:color w:val="002060"/>
        </w:rPr>
        <w:t xml:space="preserve"> pracuje od poniedziałku do piątku w stałych godzinach, </w:t>
      </w:r>
      <w:r w:rsidR="007A0433">
        <w:rPr>
          <w:rFonts w:ascii="Calibri" w:hAnsi="Calibri" w:cs="Calibri"/>
          <w:i/>
          <w:iCs/>
          <w:color w:val="002060"/>
        </w:rPr>
        <w:t>inni mają</w:t>
      </w:r>
      <w:r w:rsidRPr="00E45F38">
        <w:rPr>
          <w:rFonts w:ascii="Calibri" w:hAnsi="Calibri" w:cs="Calibri"/>
          <w:i/>
          <w:iCs/>
          <w:color w:val="002060"/>
        </w:rPr>
        <w:t xml:space="preserve"> grafik zmianowy</w:t>
      </w:r>
      <w:r w:rsidR="007A0433">
        <w:rPr>
          <w:rFonts w:ascii="Calibri" w:hAnsi="Calibri" w:cs="Calibri"/>
          <w:i/>
          <w:iCs/>
          <w:color w:val="002060"/>
        </w:rPr>
        <w:t xml:space="preserve"> albo</w:t>
      </w:r>
      <w:r w:rsidRPr="00E45F38">
        <w:rPr>
          <w:rFonts w:ascii="Calibri" w:hAnsi="Calibri" w:cs="Calibri"/>
          <w:i/>
          <w:iCs/>
          <w:color w:val="002060"/>
        </w:rPr>
        <w:t xml:space="preserve"> podejmuj</w:t>
      </w:r>
      <w:r w:rsidR="007A0433">
        <w:rPr>
          <w:rFonts w:ascii="Calibri" w:hAnsi="Calibri" w:cs="Calibri"/>
          <w:i/>
          <w:iCs/>
          <w:color w:val="002060"/>
        </w:rPr>
        <w:t>ą</w:t>
      </w:r>
      <w:r w:rsidRPr="00E45F38">
        <w:rPr>
          <w:rFonts w:ascii="Calibri" w:hAnsi="Calibri" w:cs="Calibri"/>
          <w:i/>
          <w:iCs/>
          <w:color w:val="002060"/>
        </w:rPr>
        <w:t xml:space="preserve"> dodatkowe zlecenia. Do tego dochodzą różnice między branżami i sezonami. Dlatego przekonanie, że 40 godzin tygodniowo opisuje rzeczywistość większości pracowników w taki sam sposób, szybko traci podstawy, gdy przyjrzymy się danym. Pokazują one, że za jedną średnią kryją się bardzo różne modele pracy i odmienne obciążenia zawodowe –</w:t>
      </w:r>
      <w:r w:rsidRPr="00E45F38">
        <w:rPr>
          <w:rFonts w:ascii="Calibri" w:hAnsi="Calibri" w:cs="Calibri"/>
          <w:color w:val="002060"/>
        </w:rPr>
        <w:t xml:space="preserve"> </w:t>
      </w:r>
      <w:r w:rsidRPr="00E45F38">
        <w:rPr>
          <w:rFonts w:ascii="Calibri" w:hAnsi="Calibri" w:cs="Calibri"/>
          <w:b/>
          <w:bCs/>
          <w:color w:val="002060"/>
        </w:rPr>
        <w:t>mówi Łukasz Przesmycki</w:t>
      </w:r>
      <w:r>
        <w:rPr>
          <w:rFonts w:ascii="Calibri" w:hAnsi="Calibri" w:cs="Calibri"/>
          <w:b/>
          <w:bCs/>
          <w:color w:val="002060"/>
        </w:rPr>
        <w:t xml:space="preserve">, dyrektor regionu w </w:t>
      </w:r>
      <w:r w:rsidRPr="00E45F38">
        <w:rPr>
          <w:rFonts w:ascii="Calibri" w:hAnsi="Calibri" w:cs="Calibri"/>
          <w:b/>
          <w:bCs/>
          <w:color w:val="002060"/>
        </w:rPr>
        <w:t>Grup</w:t>
      </w:r>
      <w:r>
        <w:rPr>
          <w:rFonts w:ascii="Calibri" w:hAnsi="Calibri" w:cs="Calibri"/>
          <w:b/>
          <w:bCs/>
          <w:color w:val="002060"/>
        </w:rPr>
        <w:t>ie</w:t>
      </w:r>
      <w:r w:rsidRPr="00E45F38">
        <w:rPr>
          <w:rFonts w:ascii="Calibri" w:hAnsi="Calibri" w:cs="Calibri"/>
          <w:b/>
          <w:bCs/>
          <w:color w:val="002060"/>
        </w:rPr>
        <w:t xml:space="preserve"> Progres.</w:t>
      </w:r>
    </w:p>
    <w:p w14:paraId="6BD396E5" w14:textId="29189E2C" w:rsidR="0080712A" w:rsidRPr="0080712A" w:rsidRDefault="0080712A" w:rsidP="0080712A">
      <w:pPr>
        <w:pStyle w:val="NormalnyWeb"/>
        <w:shd w:val="clear" w:color="auto" w:fill="FFFFFF"/>
        <w:jc w:val="both"/>
        <w:rPr>
          <w:rFonts w:ascii="Calibri" w:hAnsi="Calibri" w:cs="Calibri"/>
          <w:b/>
          <w:bCs/>
          <w:color w:val="002060"/>
        </w:rPr>
      </w:pPr>
      <w:r w:rsidRPr="0080712A">
        <w:rPr>
          <w:rFonts w:ascii="Calibri" w:hAnsi="Calibri" w:cs="Calibri"/>
          <w:b/>
          <w:bCs/>
          <w:color w:val="002060"/>
        </w:rPr>
        <w:t>Branże pracują w różnym rytmie</w:t>
      </w:r>
    </w:p>
    <w:p w14:paraId="7427D027" w14:textId="77E97C68" w:rsidR="0080712A" w:rsidRPr="0080712A" w:rsidRDefault="0080712A" w:rsidP="0080712A">
      <w:pPr>
        <w:pStyle w:val="NormalnyWeb"/>
        <w:shd w:val="clear" w:color="auto" w:fill="FFFFFF"/>
        <w:jc w:val="both"/>
        <w:rPr>
          <w:rFonts w:ascii="Calibri" w:hAnsi="Calibri" w:cs="Calibri"/>
          <w:color w:val="002060"/>
        </w:rPr>
      </w:pPr>
      <w:r w:rsidRPr="0080712A">
        <w:rPr>
          <w:rFonts w:ascii="Calibri" w:hAnsi="Calibri" w:cs="Calibri"/>
          <w:color w:val="002060"/>
        </w:rPr>
        <w:t>Z danych GUS przeanalizowanych przez Grupę Progres wynika, że w 2025 r. najwięcej godzin na wykonywanie obowiązków zawodowych przeznaczały osoby pracujące w rolnictwie, leśnictwie, łowiectwie i rybactwie – średnio 41,1 godziny tygodniowo. Na kolejnych miejscach znalazły się budownictwo z wynikiem 40,6 godziny oraz transport i gospodarka magazynowa, gdzie było to 40,5 godziny. W górnictwie i wydobywaniu średnia wyniosła 39 godzin, a w przetwórstwie przemysłowym oraz informacji i komunikacji – po 38,8 godziny.</w:t>
      </w:r>
    </w:p>
    <w:p w14:paraId="01D098FA" w14:textId="2527836C" w:rsidR="0080712A" w:rsidRPr="0080712A" w:rsidRDefault="0080712A" w:rsidP="0080712A">
      <w:pPr>
        <w:pStyle w:val="NormalnyWeb"/>
        <w:shd w:val="clear" w:color="auto" w:fill="FFFFFF"/>
        <w:jc w:val="both"/>
        <w:rPr>
          <w:rFonts w:ascii="Calibri" w:hAnsi="Calibri" w:cs="Calibri"/>
          <w:color w:val="002060"/>
        </w:rPr>
      </w:pPr>
      <w:r w:rsidRPr="0080712A">
        <w:rPr>
          <w:rFonts w:ascii="Calibri" w:hAnsi="Calibri" w:cs="Calibri"/>
          <w:color w:val="002060"/>
        </w:rPr>
        <w:t xml:space="preserve">W administracji publicznej i obronie narodowej średni tygodniowy czas pracy wyniósł 38,3 godziny. W handlu hurtowym i detalicznym oraz naprawie pojazdów samochodowych było to 38,1 godziny. Z kolei w sektorach związanych z wytwarzaniem i zaopatrywaniem w energię, dostawą wody, gospodarowaniem ściekami i odpadami, a także w działalności profesjonalnej, naukowej i technicznej średnia wyniosła po 38 godzin. W działalności finansowej i ubezpieczeniowej pracowano średnio 37,9 godziny tygodniowo, w zakwaterowaniu i usługach </w:t>
      </w:r>
      <w:r w:rsidRPr="0080712A">
        <w:rPr>
          <w:rFonts w:ascii="Calibri" w:hAnsi="Calibri" w:cs="Calibri"/>
          <w:color w:val="002060"/>
        </w:rPr>
        <w:lastRenderedPageBreak/>
        <w:t>gastronomicznych – 36,9 godziny, a w obsłudze rynku nieruchomości – 36,8 godziny. W usługach administrowania i działalności wspierającej było to 36,9 godziny, natomiast w opiece zdrowotnej i pomocy społecznej – 37,2 godziny.</w:t>
      </w:r>
    </w:p>
    <w:p w14:paraId="21BE8600" w14:textId="15E2EA17" w:rsidR="0080712A" w:rsidRDefault="0080712A" w:rsidP="0080712A">
      <w:pPr>
        <w:pStyle w:val="NormalnyWeb"/>
        <w:shd w:val="clear" w:color="auto" w:fill="FFFFFF"/>
        <w:jc w:val="both"/>
        <w:rPr>
          <w:rFonts w:ascii="Calibri" w:hAnsi="Calibri" w:cs="Calibri"/>
          <w:color w:val="002060"/>
        </w:rPr>
      </w:pPr>
      <w:r w:rsidRPr="0080712A">
        <w:rPr>
          <w:rFonts w:ascii="Calibri" w:hAnsi="Calibri" w:cs="Calibri"/>
          <w:color w:val="002060"/>
        </w:rPr>
        <w:t>Krótszy tydzień pracy charakteryzował pozostał</w:t>
      </w:r>
      <w:r>
        <w:rPr>
          <w:rFonts w:ascii="Calibri" w:hAnsi="Calibri" w:cs="Calibri"/>
          <w:color w:val="002060"/>
        </w:rPr>
        <w:t>ą działalność</w:t>
      </w:r>
      <w:r w:rsidRPr="0080712A">
        <w:rPr>
          <w:rFonts w:ascii="Calibri" w:hAnsi="Calibri" w:cs="Calibri"/>
          <w:color w:val="002060"/>
        </w:rPr>
        <w:t xml:space="preserve"> usług</w:t>
      </w:r>
      <w:r>
        <w:rPr>
          <w:rFonts w:ascii="Calibri" w:hAnsi="Calibri" w:cs="Calibri"/>
          <w:color w:val="002060"/>
        </w:rPr>
        <w:t xml:space="preserve">ową, gdzie </w:t>
      </w:r>
      <w:r w:rsidRPr="0080712A">
        <w:rPr>
          <w:rFonts w:ascii="Calibri" w:hAnsi="Calibri" w:cs="Calibri"/>
          <w:color w:val="002060"/>
        </w:rPr>
        <w:t>średnia wyniosła 36,3 godziny, edukacj</w:t>
      </w:r>
      <w:r>
        <w:rPr>
          <w:rFonts w:ascii="Calibri" w:hAnsi="Calibri" w:cs="Calibri"/>
          <w:color w:val="002060"/>
        </w:rPr>
        <w:t>ę</w:t>
      </w:r>
      <w:r w:rsidRPr="0080712A">
        <w:rPr>
          <w:rFonts w:ascii="Calibri" w:hAnsi="Calibri" w:cs="Calibri"/>
          <w:color w:val="002060"/>
        </w:rPr>
        <w:t xml:space="preserve"> – 35,4 godziny</w:t>
      </w:r>
      <w:r>
        <w:rPr>
          <w:rFonts w:ascii="Calibri" w:hAnsi="Calibri" w:cs="Calibri"/>
          <w:color w:val="002060"/>
        </w:rPr>
        <w:t xml:space="preserve"> oraz </w:t>
      </w:r>
      <w:r w:rsidRPr="0080712A">
        <w:rPr>
          <w:rFonts w:ascii="Calibri" w:hAnsi="Calibri" w:cs="Calibri"/>
          <w:color w:val="002060"/>
        </w:rPr>
        <w:t>kultur</w:t>
      </w:r>
      <w:r>
        <w:rPr>
          <w:rFonts w:ascii="Calibri" w:hAnsi="Calibri" w:cs="Calibri"/>
          <w:color w:val="002060"/>
        </w:rPr>
        <w:t>ę</w:t>
      </w:r>
      <w:r w:rsidRPr="0080712A">
        <w:rPr>
          <w:rFonts w:ascii="Calibri" w:hAnsi="Calibri" w:cs="Calibri"/>
          <w:color w:val="002060"/>
        </w:rPr>
        <w:t>, rozryw</w:t>
      </w:r>
      <w:r>
        <w:rPr>
          <w:rFonts w:ascii="Calibri" w:hAnsi="Calibri" w:cs="Calibri"/>
          <w:color w:val="002060"/>
        </w:rPr>
        <w:t>kę</w:t>
      </w:r>
      <w:r w:rsidRPr="0080712A">
        <w:rPr>
          <w:rFonts w:ascii="Calibri" w:hAnsi="Calibri" w:cs="Calibri"/>
          <w:color w:val="002060"/>
        </w:rPr>
        <w:t xml:space="preserve"> i rekreacj</w:t>
      </w:r>
      <w:r>
        <w:rPr>
          <w:rFonts w:ascii="Calibri" w:hAnsi="Calibri" w:cs="Calibri"/>
          <w:color w:val="002060"/>
        </w:rPr>
        <w:t xml:space="preserve">ę </w:t>
      </w:r>
      <w:r w:rsidRPr="0080712A">
        <w:rPr>
          <w:rFonts w:ascii="Calibri" w:hAnsi="Calibri" w:cs="Calibri"/>
          <w:color w:val="002060"/>
        </w:rPr>
        <w:t xml:space="preserve">– 34,5 godziny. To właśnie między rolnictwem a kulturą, rozrywką i rekreacją wystąpiła największa różnica – 6,6 godziny tygodniowo. W przeliczeniu na 52 tygodnie daje to ponad 343 godziny, czyli równowartość niemal 43 ośmiogodzinnych dni pracy. </w:t>
      </w:r>
    </w:p>
    <w:p w14:paraId="5CBA30BB" w14:textId="5DBAC371" w:rsidR="004B7063" w:rsidRDefault="004B7063" w:rsidP="0080712A">
      <w:pPr>
        <w:pStyle w:val="NormalnyWeb"/>
        <w:shd w:val="clear" w:color="auto" w:fill="FFFFFF"/>
        <w:jc w:val="both"/>
        <w:rPr>
          <w:rFonts w:ascii="Calibri" w:hAnsi="Calibri" w:cs="Calibri"/>
          <w:color w:val="002060"/>
        </w:rPr>
      </w:pPr>
      <w:r w:rsidRPr="004B7063">
        <w:rPr>
          <w:rFonts w:ascii="Calibri" w:hAnsi="Calibri" w:cs="Calibri"/>
          <w:color w:val="002060"/>
        </w:rPr>
        <w:t xml:space="preserve">W pierwszej połowie 2026 r. układ branż pod względem czasu pracy pozostał podobny, choć pojawiły się różnice. Najwięcej godzin nadal przepracowywano w rolnictwie, leśnictwie, łowiectwie i rybactwie – średnio 40,7 godziny tygodniowo. Wysokie wyniki utrzymały się również w budownictwie oraz transporcie i gospodarce magazynowej – po 40,2 godziny. Na drugim końcu zestawienia ponownie znalazła się kultura, rozrywka i rekreacja, gdzie średnia spadła do 34,2 godziny, oraz edukacja z wynikiem 35,2 godziny. Różnica między skrajnymi branżami wyniosła zatem 6,5 godziny tygodniowo, czyli niemal tyle samo co w 2025 r. Największa zmiana dotyczyła zakwaterowania i usług gastronomicznych, gdzie średni czas pracy wzrósł z 36,9 do 37,8 godziny tygodniowo. Z kolei w obsłudze rynku nieruchomości odnotowano spadek z 36,8 do 35,8 godziny. </w:t>
      </w:r>
    </w:p>
    <w:p w14:paraId="345F48C5" w14:textId="42E336EA" w:rsidR="0028461A" w:rsidRDefault="0028461A" w:rsidP="0080712A">
      <w:pPr>
        <w:pStyle w:val="NormalnyWeb"/>
        <w:shd w:val="clear" w:color="auto" w:fill="FFFFFF"/>
        <w:jc w:val="both"/>
        <w:rPr>
          <w:rFonts w:ascii="Calibri" w:hAnsi="Calibri" w:cs="Calibri"/>
          <w:color w:val="002060"/>
        </w:rPr>
      </w:pPr>
      <w:r w:rsidRPr="0028461A">
        <w:rPr>
          <w:rFonts w:ascii="Calibri" w:hAnsi="Calibri" w:cs="Calibri"/>
          <w:color w:val="002060"/>
        </w:rPr>
        <w:t xml:space="preserve">– </w:t>
      </w:r>
      <w:r w:rsidRPr="0028461A">
        <w:rPr>
          <w:rFonts w:ascii="Calibri" w:hAnsi="Calibri" w:cs="Calibri"/>
          <w:i/>
          <w:iCs/>
          <w:color w:val="002060"/>
        </w:rPr>
        <w:t>Na czas pracy wpływają nie tylko charakter obowiązków i organizacja pracy, ale również poziom automatyzacji, dostęp do technologii oraz stopień, w jakim można usprawnić poszczególne procesy. W jednych branżach technologia pozwala skrócić czas realizacji zadań, w innych nadal kluczowa jest praca człowieka, obecność na miejscu i dostosowanie się do warunków, których nie da się w pełni zaplanować. Znaczenie mają też sezonowość, system zmianowy i konieczność zapewnienia ciągłości działania. Dlatego różnice w liczbie przepracowanych godzin są efektem wielu czynników i nie powinny być interpretowane wyłącznie jako miara wydajności. To raczej obraz tego, jak różnorodny jest rynek pracy i jak odmienne warunki kształtują codzienność zawodową pracowników</w:t>
      </w:r>
      <w:r w:rsidRPr="0028461A">
        <w:rPr>
          <w:rFonts w:ascii="Calibri" w:hAnsi="Calibri" w:cs="Calibri"/>
          <w:color w:val="002060"/>
        </w:rPr>
        <w:t xml:space="preserve"> – </w:t>
      </w:r>
      <w:r w:rsidRPr="0028461A">
        <w:rPr>
          <w:rFonts w:ascii="Calibri" w:hAnsi="Calibri" w:cs="Calibri"/>
          <w:b/>
          <w:bCs/>
          <w:color w:val="002060"/>
        </w:rPr>
        <w:t xml:space="preserve">zaznacza </w:t>
      </w:r>
      <w:r w:rsidRPr="00E45F38">
        <w:rPr>
          <w:rFonts w:ascii="Calibri" w:hAnsi="Calibri" w:cs="Calibri"/>
          <w:b/>
          <w:bCs/>
          <w:color w:val="002060"/>
        </w:rPr>
        <w:t>Łukasz Przesmycki</w:t>
      </w:r>
      <w:r>
        <w:rPr>
          <w:rFonts w:ascii="Calibri" w:hAnsi="Calibri" w:cs="Calibri"/>
          <w:b/>
          <w:bCs/>
          <w:color w:val="002060"/>
        </w:rPr>
        <w:t xml:space="preserve">, dyrektor regionu w </w:t>
      </w:r>
      <w:r w:rsidRPr="00E45F38">
        <w:rPr>
          <w:rFonts w:ascii="Calibri" w:hAnsi="Calibri" w:cs="Calibri"/>
          <w:b/>
          <w:bCs/>
          <w:color w:val="002060"/>
        </w:rPr>
        <w:t>Grup</w:t>
      </w:r>
      <w:r>
        <w:rPr>
          <w:rFonts w:ascii="Calibri" w:hAnsi="Calibri" w:cs="Calibri"/>
          <w:b/>
          <w:bCs/>
          <w:color w:val="002060"/>
        </w:rPr>
        <w:t>ie</w:t>
      </w:r>
      <w:r w:rsidRPr="00E45F38">
        <w:rPr>
          <w:rFonts w:ascii="Calibri" w:hAnsi="Calibri" w:cs="Calibri"/>
          <w:b/>
          <w:bCs/>
          <w:color w:val="002060"/>
        </w:rPr>
        <w:t xml:space="preserve"> Progres.</w:t>
      </w:r>
    </w:p>
    <w:p w14:paraId="25EF1902" w14:textId="05C2F93B" w:rsidR="00B66167" w:rsidRPr="00B66167" w:rsidRDefault="00B66167" w:rsidP="00B66167">
      <w:pPr>
        <w:pStyle w:val="NormalnyWeb"/>
        <w:shd w:val="clear" w:color="auto" w:fill="FFFFFF"/>
        <w:jc w:val="both"/>
        <w:rPr>
          <w:rFonts w:ascii="Calibri" w:hAnsi="Calibri" w:cs="Calibri"/>
          <w:b/>
          <w:bCs/>
          <w:color w:val="002060"/>
        </w:rPr>
      </w:pPr>
      <w:r w:rsidRPr="00B66167">
        <w:rPr>
          <w:rFonts w:ascii="Calibri" w:hAnsi="Calibri" w:cs="Calibri"/>
          <w:b/>
          <w:bCs/>
          <w:color w:val="002060"/>
        </w:rPr>
        <w:t>Pełny etat nadal dominuje, ale liczy się też produktywność</w:t>
      </w:r>
    </w:p>
    <w:p w14:paraId="72CFA007" w14:textId="4A7DB45F" w:rsidR="008C7CF2" w:rsidRDefault="004B7063" w:rsidP="00B66167">
      <w:pPr>
        <w:pStyle w:val="NormalnyWeb"/>
        <w:jc w:val="both"/>
        <w:rPr>
          <w:rFonts w:ascii="Calibri" w:hAnsi="Calibri" w:cs="Calibri"/>
          <w:color w:val="002060"/>
        </w:rPr>
      </w:pPr>
      <w:r w:rsidRPr="004B7063">
        <w:rPr>
          <w:rFonts w:ascii="Calibri" w:hAnsi="Calibri" w:cs="Calibri"/>
          <w:color w:val="002060"/>
        </w:rPr>
        <w:t>Standardowy czas pracy w pełnym zakresie nadal dominuje na polskim rynku pracy</w:t>
      </w:r>
      <w:r w:rsidR="008C7CF2" w:rsidRPr="00B66167">
        <w:rPr>
          <w:rFonts w:ascii="Calibri" w:hAnsi="Calibri" w:cs="Calibri"/>
          <w:color w:val="002060"/>
        </w:rPr>
        <w:t xml:space="preserve">. </w:t>
      </w:r>
      <w:r w:rsidR="00B66167">
        <w:rPr>
          <w:rFonts w:ascii="Calibri" w:hAnsi="Calibri" w:cs="Calibri"/>
          <w:color w:val="002060"/>
        </w:rPr>
        <w:t>Tylko w</w:t>
      </w:r>
      <w:r w:rsidR="008C7CF2" w:rsidRPr="00B66167">
        <w:rPr>
          <w:rFonts w:ascii="Calibri" w:hAnsi="Calibri" w:cs="Calibri"/>
          <w:color w:val="002060"/>
        </w:rPr>
        <w:t xml:space="preserve"> II kwartale 2026 r. </w:t>
      </w:r>
      <w:r w:rsidR="00B66167">
        <w:rPr>
          <w:rFonts w:ascii="Calibri" w:hAnsi="Calibri" w:cs="Calibri"/>
          <w:color w:val="002060"/>
        </w:rPr>
        <w:t xml:space="preserve">pracowało </w:t>
      </w:r>
      <w:r>
        <w:rPr>
          <w:rFonts w:ascii="Calibri" w:hAnsi="Calibri" w:cs="Calibri"/>
          <w:color w:val="002060"/>
        </w:rPr>
        <w:t xml:space="preserve">tak </w:t>
      </w:r>
      <w:r w:rsidR="008C7CF2" w:rsidRPr="00B66167">
        <w:rPr>
          <w:rFonts w:ascii="Calibri" w:hAnsi="Calibri" w:cs="Calibri"/>
          <w:color w:val="002060"/>
        </w:rPr>
        <w:t>15,928 mln osób, podczas gdy 1,306 mln</w:t>
      </w:r>
      <w:r>
        <w:rPr>
          <w:rFonts w:ascii="Calibri" w:hAnsi="Calibri" w:cs="Calibri"/>
          <w:color w:val="002060"/>
        </w:rPr>
        <w:t xml:space="preserve"> realizowało obowiązki zawodowe w niepełnym wymiarze godzin</w:t>
      </w:r>
      <w:r w:rsidR="008C7CF2" w:rsidRPr="00B66167">
        <w:rPr>
          <w:rFonts w:ascii="Calibri" w:hAnsi="Calibri" w:cs="Calibri"/>
          <w:color w:val="002060"/>
        </w:rPr>
        <w:t xml:space="preserve">. </w:t>
      </w:r>
    </w:p>
    <w:p w14:paraId="33A4DE54" w14:textId="61FE68E1" w:rsidR="00DB317F" w:rsidRDefault="00DB317F" w:rsidP="00B66167">
      <w:pPr>
        <w:pStyle w:val="NormalnyWeb"/>
        <w:jc w:val="both"/>
        <w:rPr>
          <w:rFonts w:ascii="Calibri" w:hAnsi="Calibri" w:cs="Calibri"/>
          <w:color w:val="002060"/>
        </w:rPr>
      </w:pPr>
      <w:r w:rsidRPr="00DB317F">
        <w:rPr>
          <w:rFonts w:ascii="Calibri" w:hAnsi="Calibri" w:cs="Calibri"/>
          <w:color w:val="002060"/>
        </w:rPr>
        <w:t>Na długość tygodnia pracy wpływają również płeć, miejsce zamieszkania i sektor zatrudnienia. W I półroczu 2026 r. mężczyźni przepracowywali średnio 39,5 godziny tygodniowo, a kobiety – 37 godzin. Różnica była widoczna także między mieszkańcami wsi i miast: na wsi średnia wynosiła 38,8 godziny, a w miastach – 38 godzin. Znaczenie miał również sektor zatrudnienia. W prywatnym tygodniowy czas pracy wynosił średnio 38,7 godziny, wobec 37,3 godziny w publicznym. Oznacza to, że mężczyźni pracowali przeciętnie o 2,5 godziny tygodniowo dłużej niż kobiety, a mieszkańcy wsi o 0,8 godziny dłużej niż mieszkańcy miast. Różnica między sektorem prywatnym a publicznym wyniosła 1,4 godziny.</w:t>
      </w:r>
    </w:p>
    <w:p w14:paraId="250671DD" w14:textId="118E9E66" w:rsidR="008C7CF2" w:rsidRDefault="008C7CF2" w:rsidP="00B66167">
      <w:pPr>
        <w:pStyle w:val="NormalnyWeb"/>
        <w:jc w:val="both"/>
        <w:rPr>
          <w:rFonts w:ascii="Calibri" w:hAnsi="Calibri" w:cs="Calibri"/>
          <w:color w:val="002060"/>
        </w:rPr>
      </w:pPr>
      <w:r w:rsidRPr="00B66167">
        <w:rPr>
          <w:rFonts w:ascii="Calibri" w:hAnsi="Calibri" w:cs="Calibri"/>
          <w:color w:val="002060"/>
        </w:rPr>
        <w:lastRenderedPageBreak/>
        <w:t xml:space="preserve">– </w:t>
      </w:r>
      <w:r w:rsidR="00B66167" w:rsidRPr="00B66167">
        <w:rPr>
          <w:rFonts w:ascii="Calibri" w:hAnsi="Calibri" w:cs="Calibri"/>
          <w:i/>
          <w:iCs/>
          <w:color w:val="002060"/>
        </w:rPr>
        <w:t xml:space="preserve">W najbliższych latach wyzwaniem nie będzie samo wydłużanie czasu pracy, lecz lepsze wykorzystanie dostępnych godzin. Technologia i automatyzacja będą zmieniać sposób wykonywania wielu zadań, a o efektywności coraz częściej zdecydują organizacja procesów, kompetencje i właściwe dopasowanie liczby pracowników do potrzeb firmy. Zmiany odczują również sami pracownicy, którzy powinni być gotowi na rozwijanie nowych umiejętności, korzystanie z narzędzi cyfrowych i większą elastyczność w podejściu do obowiązków. Nie oznacza to, że każdy będzie musiał pracować więcej, ale że coraz większe znaczenie może mieć to, co potrafimy zrobić w określonym czasie i jak szybko adaptujemy się do nowych warunków. Dlatego zarówno firmy, jak i pracownicy powinni patrzeć na czas pracy w powiązaniu z produktywnością, a nie traktować go jako jedynego miernika efektywności </w:t>
      </w:r>
      <w:r w:rsidR="00B66167" w:rsidRPr="00B66167">
        <w:rPr>
          <w:rFonts w:ascii="Calibri" w:hAnsi="Calibri" w:cs="Calibri"/>
          <w:color w:val="002060"/>
        </w:rPr>
        <w:t xml:space="preserve">– </w:t>
      </w:r>
      <w:r w:rsidR="00B66167" w:rsidRPr="00B66167">
        <w:rPr>
          <w:rFonts w:ascii="Calibri" w:hAnsi="Calibri" w:cs="Calibri"/>
          <w:b/>
          <w:bCs/>
          <w:color w:val="002060"/>
        </w:rPr>
        <w:t>podsumowuje Łukasz Przesmycki, dyrektor regionu w Grupie Progres.</w:t>
      </w:r>
    </w:p>
    <w:p w14:paraId="3DFB73D0" w14:textId="6724476A" w:rsidR="0028461A" w:rsidRPr="0028461A" w:rsidRDefault="00B66167" w:rsidP="0028461A">
      <w:pPr>
        <w:pStyle w:val="NormalnyWeb"/>
        <w:shd w:val="clear" w:color="auto" w:fill="FFFFFF"/>
        <w:jc w:val="both"/>
        <w:rPr>
          <w:rFonts w:ascii="Calibri" w:hAnsi="Calibri" w:cs="Calibri"/>
          <w:color w:val="002060"/>
        </w:rPr>
      </w:pPr>
      <w:r>
        <w:rPr>
          <w:rFonts w:ascii="Calibri" w:hAnsi="Calibri" w:cs="Calibri"/>
          <w:color w:val="002060"/>
        </w:rPr>
        <w:t>***</w:t>
      </w:r>
    </w:p>
    <w:p w14:paraId="5564993D" w14:textId="646DA7AB" w:rsidR="0028461A" w:rsidRDefault="0028461A" w:rsidP="0028461A">
      <w:pPr>
        <w:pStyle w:val="NormalnyWeb"/>
        <w:shd w:val="clear" w:color="auto" w:fill="FFFFFF"/>
        <w:jc w:val="both"/>
        <w:rPr>
          <w:rFonts w:ascii="Calibri" w:hAnsi="Calibri" w:cs="Calibri"/>
          <w:color w:val="002060"/>
        </w:rPr>
      </w:pPr>
      <w:r w:rsidRPr="00B66167">
        <w:rPr>
          <w:rFonts w:ascii="Calibri" w:hAnsi="Calibri" w:cs="Calibri"/>
          <w:b/>
          <w:bCs/>
          <w:color w:val="002060"/>
        </w:rPr>
        <w:t>Informacja metodologiczna:</w:t>
      </w:r>
      <w:r w:rsidRPr="0028461A">
        <w:rPr>
          <w:rFonts w:ascii="Calibri" w:hAnsi="Calibri" w:cs="Calibri"/>
          <w:color w:val="002060"/>
        </w:rPr>
        <w:t xml:space="preserve"> Dane branżowe GUS przedstawiają przeciętny tygodniowy czas pracy w głównym miejscu pracy. Wartości za 2025 r. oraz pierwszą połowę 2026 r. obliczono jako średnie arytmetyczne z opublikowanych danych kwartalnych, a następnie zaokrąglono do jednego miejsca po przecinku. </w:t>
      </w:r>
    </w:p>
    <w:p w14:paraId="086B9131" w14:textId="346272DA" w:rsidR="00FD28F2" w:rsidRPr="00FD28F2" w:rsidRDefault="00FD28F2" w:rsidP="00FD28F2">
      <w:pPr>
        <w:pStyle w:val="NormalnyWeb"/>
        <w:shd w:val="clear" w:color="auto" w:fill="FFFFFF"/>
        <w:spacing w:after="0" w:afterAutospacing="0" w:line="276" w:lineRule="auto"/>
        <w:rPr>
          <w:rFonts w:ascii="Calibri" w:hAnsi="Calibri" w:cs="Calibri"/>
          <w:color w:val="EE0000"/>
        </w:rPr>
      </w:pPr>
    </w:p>
    <w:p w14:paraId="69FE8CB5" w14:textId="7F23B5AC" w:rsidR="00101D1C" w:rsidRPr="00BC7F36" w:rsidRDefault="00101D1C" w:rsidP="00D87CBE">
      <w:pPr>
        <w:pStyle w:val="NormalnyWeb"/>
        <w:shd w:val="clear" w:color="auto" w:fill="FFFFFF"/>
        <w:spacing w:after="0" w:afterAutospacing="0" w:line="276" w:lineRule="auto"/>
        <w:jc w:val="both"/>
        <w:rPr>
          <w:rFonts w:ascii="Calibri" w:hAnsi="Calibri" w:cs="Calibri"/>
          <w:color w:val="002060"/>
          <w:sz w:val="18"/>
          <w:szCs w:val="18"/>
        </w:rPr>
      </w:pPr>
      <w:r w:rsidRPr="00BC7F36">
        <w:rPr>
          <w:rFonts w:ascii="Calibri" w:hAnsi="Calibri" w:cs="Calibri"/>
          <w:color w:val="002060"/>
          <w:sz w:val="18"/>
          <w:szCs w:val="18"/>
        </w:rPr>
        <w:t>***</w:t>
      </w:r>
    </w:p>
    <w:p w14:paraId="6568E89F" w14:textId="77777777" w:rsidR="00101D1C" w:rsidRPr="00BC7F36" w:rsidRDefault="00101D1C" w:rsidP="00101D1C">
      <w:pPr>
        <w:pStyle w:val="NormalnyWeb"/>
        <w:shd w:val="clear" w:color="auto" w:fill="FFFFFF"/>
        <w:jc w:val="both"/>
        <w:rPr>
          <w:rFonts w:ascii="Calibri" w:hAnsi="Calibri" w:cs="Calibri"/>
          <w:color w:val="002060"/>
          <w:sz w:val="18"/>
          <w:szCs w:val="18"/>
          <w:shd w:val="clear" w:color="auto" w:fill="FFFFFF"/>
        </w:rPr>
      </w:pPr>
      <w:r w:rsidRPr="0058404D">
        <w:rPr>
          <w:rFonts w:ascii="Calibri" w:hAnsi="Calibri" w:cs="Calibri"/>
          <w:b/>
          <w:bCs/>
          <w:color w:val="002060"/>
          <w:sz w:val="18"/>
          <w:szCs w:val="18"/>
          <w:shd w:val="clear" w:color="auto" w:fill="FFFFFF"/>
        </w:rPr>
        <w:t>Holding Grupy Progres</w:t>
      </w:r>
      <w:r w:rsidRPr="00BC7F36">
        <w:rPr>
          <w:rFonts w:ascii="Calibri" w:hAnsi="Calibri" w:cs="Calibri"/>
          <w:color w:val="002060"/>
          <w:sz w:val="18"/>
          <w:szCs w:val="18"/>
          <w:shd w:val="clear" w:color="auto" w:fill="FFFFFF"/>
        </w:rPr>
        <w:t xml:space="preserve"> jest jedną z największych agencji HR wśród firm z branży posiadających 100 proc. polskiego kapitału i działających na terenie całego kraju. W jej skład wchodzą spółki, z których najstarsza na rynku funkcjonuje od 2002 r. Grupa wspiera przedsiębiorstwa w całej Polsce w zakresie pracy tymczasowej (Progres HR), doradztwa biznesowego i szkoleń (Progres Consulting), rekrutacji stałych (Progres Permanent Recruitment), a także optymalizacji procesów (Progres Advanced Solutions). Rocznie zatrudnia niemal 20 tysięcy pracowników i realizuje 1,5 tysiąca projektów rekrutacyjnych. Posiada kilkadziesiąt oddziałów w Polsce i za granicą. Organizacja była wielokrotnie nagradzana w prestiżowych konkursach, plebiscytach i rankingach m.in. Deloitte – Best Managed Companies Poland 2025, Diamenty Forbesa (2025 r. – laureat), Ambasador Polskiej Gospodarki BCC (2025 r.), Gazele Biznesu (2024 r. – laureat), Medal Europejski (2024 r.), Lider Polskiego Biznesu (2025 r. i 2026 r.). </w:t>
      </w:r>
      <w:r w:rsidRPr="00BC7F36">
        <w:rPr>
          <w:rFonts w:ascii="Calibri" w:hAnsi="Calibri" w:cs="Calibri"/>
          <w:color w:val="002060"/>
          <w:sz w:val="18"/>
          <w:szCs w:val="18"/>
        </w:rPr>
        <w:t>Trzy spółki działające w ramach Holdingu (Grupa Progres, Progres Advanced Solutions i Progres HR Poland) znalazły się w rankingu Gazele Biznesu 2025, wyróżniającym najszybciej rozwijające się firmy z sektora MŚP w Polsce. Organizacja jest też laureatem konkursu „Firma Dobrze Widziana” (2025 r.), członkiem Konfederacji Lewiatan (od 2026 r.) oraz sygnatariuszem Karty Różnorodności (Forum Odpowiedzialnego Biznesu). Posiada również certyfikat Równości Płac przyznawany przez Business Center Club.</w:t>
      </w:r>
    </w:p>
    <w:p w14:paraId="04B1190C" w14:textId="77777777" w:rsidR="00101D1C" w:rsidRPr="00F84C29" w:rsidRDefault="00101D1C" w:rsidP="00101D1C">
      <w:pPr>
        <w:pStyle w:val="NormalnyWeb"/>
        <w:shd w:val="clear" w:color="auto" w:fill="FFFFFF"/>
        <w:spacing w:after="0" w:afterAutospacing="0"/>
        <w:jc w:val="both"/>
        <w:rPr>
          <w:rFonts w:ascii="Calibri" w:hAnsi="Calibri" w:cs="Calibri"/>
          <w:color w:val="002060"/>
        </w:rPr>
      </w:pPr>
      <w:r w:rsidRPr="00F84C29">
        <w:rPr>
          <w:rFonts w:ascii="Calibri" w:hAnsi="Calibri" w:cs="Calibri"/>
          <w:color w:val="002060"/>
        </w:rPr>
        <w:t>***</w:t>
      </w:r>
    </w:p>
    <w:p w14:paraId="191A8973" w14:textId="77777777" w:rsidR="00101D1C" w:rsidRPr="00F84C29" w:rsidRDefault="00101D1C" w:rsidP="00101D1C">
      <w:pPr>
        <w:pStyle w:val="NormalnyWeb"/>
        <w:shd w:val="clear" w:color="auto" w:fill="FFFFFF"/>
        <w:spacing w:before="0" w:beforeAutospacing="0" w:after="0" w:afterAutospacing="0"/>
        <w:jc w:val="both"/>
        <w:rPr>
          <w:rFonts w:ascii="Calibri" w:hAnsi="Calibri" w:cs="Calibri"/>
          <w:b/>
          <w:bCs/>
          <w:color w:val="002060"/>
        </w:rPr>
      </w:pPr>
      <w:r w:rsidRPr="00F84C29">
        <w:rPr>
          <w:rFonts w:ascii="Calibri" w:hAnsi="Calibri" w:cs="Calibri"/>
          <w:b/>
          <w:bCs/>
          <w:color w:val="002060"/>
        </w:rPr>
        <w:t xml:space="preserve">Biuro prasowe Grupy Progres: </w:t>
      </w:r>
    </w:p>
    <w:p w14:paraId="2A17BB13" w14:textId="77777777" w:rsidR="00101D1C" w:rsidRPr="00F84C29" w:rsidRDefault="00101D1C" w:rsidP="00101D1C">
      <w:pPr>
        <w:pStyle w:val="NormalnyWeb"/>
        <w:shd w:val="clear" w:color="auto" w:fill="FFFFFF"/>
        <w:spacing w:before="0" w:beforeAutospacing="0" w:after="0" w:afterAutospacing="0"/>
        <w:jc w:val="both"/>
        <w:rPr>
          <w:rFonts w:ascii="Calibri" w:hAnsi="Calibri" w:cs="Calibri"/>
          <w:color w:val="002060"/>
        </w:rPr>
      </w:pPr>
      <w:r w:rsidRPr="00F84C29">
        <w:rPr>
          <w:rFonts w:ascii="Calibri" w:hAnsi="Calibri" w:cs="Calibri"/>
          <w:color w:val="002060"/>
        </w:rPr>
        <w:t>Kamila Tyniec</w:t>
      </w:r>
    </w:p>
    <w:p w14:paraId="6B708784" w14:textId="77777777" w:rsidR="00101D1C" w:rsidRPr="00F84C29" w:rsidRDefault="00101D1C" w:rsidP="00101D1C">
      <w:pPr>
        <w:pStyle w:val="NormalnyWeb"/>
        <w:shd w:val="clear" w:color="auto" w:fill="FFFFFF"/>
        <w:spacing w:before="0" w:beforeAutospacing="0" w:after="0" w:afterAutospacing="0"/>
        <w:jc w:val="both"/>
        <w:rPr>
          <w:rFonts w:ascii="Calibri" w:hAnsi="Calibri" w:cs="Calibri"/>
          <w:color w:val="002060"/>
        </w:rPr>
      </w:pPr>
      <w:r w:rsidRPr="00F84C29">
        <w:rPr>
          <w:rFonts w:ascii="Calibri" w:hAnsi="Calibri" w:cs="Calibri"/>
          <w:color w:val="002060"/>
        </w:rPr>
        <w:t xml:space="preserve">e-mail: </w:t>
      </w:r>
      <w:hyperlink r:id="rId8" w:history="1">
        <w:r w:rsidRPr="00F84C29">
          <w:rPr>
            <w:rStyle w:val="Hipercze"/>
            <w:rFonts w:ascii="Calibri" w:hAnsi="Calibri" w:cs="Calibri"/>
            <w:color w:val="002060"/>
          </w:rPr>
          <w:t>k.tyniec@bepr.pl</w:t>
        </w:r>
      </w:hyperlink>
      <w:r w:rsidRPr="00F84C29">
        <w:rPr>
          <w:rFonts w:ascii="Calibri" w:hAnsi="Calibri" w:cs="Calibri"/>
          <w:color w:val="002060"/>
        </w:rPr>
        <w:t xml:space="preserve">  lub kom. +48 500 690</w:t>
      </w:r>
      <w:r>
        <w:rPr>
          <w:rFonts w:ascii="Calibri" w:hAnsi="Calibri" w:cs="Calibri"/>
          <w:color w:val="002060"/>
        </w:rPr>
        <w:t> </w:t>
      </w:r>
      <w:r w:rsidRPr="00F84C29">
        <w:rPr>
          <w:rFonts w:ascii="Calibri" w:hAnsi="Calibri" w:cs="Calibri"/>
          <w:color w:val="002060"/>
        </w:rPr>
        <w:t>965</w:t>
      </w:r>
    </w:p>
    <w:p w14:paraId="570BB4F5" w14:textId="77777777" w:rsidR="004147EA" w:rsidRDefault="004147EA" w:rsidP="004147EA">
      <w:pPr>
        <w:jc w:val="both"/>
        <w:rPr>
          <w:color w:val="171717" w:themeColor="background2" w:themeShade="1A"/>
        </w:rPr>
      </w:pPr>
    </w:p>
    <w:p w14:paraId="772A0B52" w14:textId="77777777" w:rsidR="004147EA" w:rsidRDefault="004147EA" w:rsidP="004147EA">
      <w:pPr>
        <w:jc w:val="both"/>
        <w:rPr>
          <w:color w:val="171717" w:themeColor="background2" w:themeShade="1A"/>
        </w:rPr>
      </w:pPr>
    </w:p>
    <w:p w14:paraId="23012D58" w14:textId="77777777" w:rsidR="00DF5583" w:rsidRPr="00BE55F3" w:rsidRDefault="00DF5583" w:rsidP="004147EA">
      <w:pPr>
        <w:rPr>
          <w:color w:val="171717" w:themeColor="background2" w:themeShade="1A"/>
        </w:rPr>
      </w:pPr>
    </w:p>
    <w:sectPr w:rsidR="00DF5583" w:rsidRPr="00BE55F3" w:rsidSect="004147EA">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985" w:left="1418" w:header="709" w:footer="11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D5563F" w14:textId="77777777" w:rsidR="007B4F98" w:rsidRDefault="007B4F98" w:rsidP="00B332FF">
      <w:r>
        <w:separator/>
      </w:r>
    </w:p>
  </w:endnote>
  <w:endnote w:type="continuationSeparator" w:id="0">
    <w:p w14:paraId="0DE37FC9" w14:textId="77777777" w:rsidR="007B4F98" w:rsidRDefault="007B4F98" w:rsidP="00B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yriad Pro">
    <w:altName w:val="Segoe UI"/>
    <w:panose1 w:val="020B0604020202020204"/>
    <w:charset w:val="00"/>
    <w:family w:val="swiss"/>
    <w:notTrueType/>
    <w:pitch w:val="default"/>
    <w:sig w:usb0="00000003" w:usb1="00000000" w:usb2="00000000" w:usb3="00000000" w:csb0="00000001" w:csb1="00000000"/>
  </w:font>
  <w:font w:name="Poppins Light">
    <w:panose1 w:val="00000400000000000000"/>
    <w:charset w:val="EE"/>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46B99C" w14:textId="77777777" w:rsidR="0099390E" w:rsidRDefault="0099390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9B7B7E" w14:textId="77777777" w:rsidR="00B332FF" w:rsidRDefault="002D41A7" w:rsidP="00A92ED7">
    <w:pPr>
      <w:pStyle w:val="Stopka"/>
    </w:pPr>
    <w:r>
      <w:rPr>
        <w:noProof/>
        <w:lang w:eastAsia="pl-PL"/>
      </w:rPr>
      <mc:AlternateContent>
        <mc:Choice Requires="wps">
          <w:drawing>
            <wp:anchor distT="0" distB="0" distL="114300" distR="114300" simplePos="0" relativeHeight="251671552" behindDoc="0" locked="0" layoutInCell="1" allowOverlap="1" wp14:anchorId="0DA818E4" wp14:editId="04CFA931">
              <wp:simplePos x="0" y="0"/>
              <wp:positionH relativeFrom="margin">
                <wp:posOffset>-170815</wp:posOffset>
              </wp:positionH>
              <wp:positionV relativeFrom="paragraph">
                <wp:posOffset>10160</wp:posOffset>
              </wp:positionV>
              <wp:extent cx="6007735" cy="1905"/>
              <wp:effectExtent l="0" t="0" r="31115" b="36195"/>
              <wp:wrapNone/>
              <wp:docPr id="2143017058" name="Łącznik prosty 7"/>
              <wp:cNvGraphicFramePr/>
              <a:graphic xmlns:a="http://schemas.openxmlformats.org/drawingml/2006/main">
                <a:graphicData uri="http://schemas.microsoft.com/office/word/2010/wordprocessingShape">
                  <wps:wsp>
                    <wps:cNvCnPr/>
                    <wps:spPr>
                      <a:xfrm flipV="1">
                        <a:off x="0" y="0"/>
                        <a:ext cx="6007735" cy="1905"/>
                      </a:xfrm>
                      <a:prstGeom prst="line">
                        <a:avLst/>
                      </a:prstGeom>
                      <a:ln>
                        <a:solidFill>
                          <a:srgbClr val="92939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10C9BE" id="Łącznik prosty 7" o:spid="_x0000_s1026" style="position:absolute;flip: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45pt,.8pt" to="459.6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" strokecolor="#929392" strokeweight=".5pt">
              <v:stroke joinstyle="miter"/>
              <w10:wrap anchorx="margin"/>
            </v:line>
          </w:pict>
        </mc:Fallback>
      </mc:AlternateContent>
    </w:r>
    <w:r w:rsidR="00114274">
      <w:rPr>
        <w:noProof/>
        <w:lang w:eastAsia="pl-PL"/>
      </w:rPr>
      <mc:AlternateContent>
        <mc:Choice Requires="wps">
          <w:drawing>
            <wp:anchor distT="45720" distB="45720" distL="114300" distR="114300" simplePos="0" relativeHeight="251664384" behindDoc="1" locked="0" layoutInCell="1" allowOverlap="1" wp14:anchorId="2D9A5F6B" wp14:editId="164B6291">
              <wp:simplePos x="0" y="0"/>
              <wp:positionH relativeFrom="margin">
                <wp:posOffset>-116205</wp:posOffset>
              </wp:positionH>
              <wp:positionV relativeFrom="paragraph">
                <wp:posOffset>121285</wp:posOffset>
              </wp:positionV>
              <wp:extent cx="2858135" cy="471170"/>
              <wp:effectExtent l="0" t="0" r="0" b="5080"/>
              <wp:wrapNone/>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8135" cy="471170"/>
                      </a:xfrm>
                      <a:prstGeom prst="rect">
                        <a:avLst/>
                      </a:prstGeom>
                      <a:noFill/>
                      <a:ln w="9525">
                        <a:noFill/>
                        <a:miter lim="800000"/>
                        <a:headEnd/>
                        <a:tailEnd/>
                      </a:ln>
                    </wps:spPr>
                    <wps:txbx>
                      <w:txbxContent>
                        <w:p w14:paraId="7F993FA3" w14:textId="77777777" w:rsidR="007637A8" w:rsidRPr="007637A8" w:rsidRDefault="00AE1D92" w:rsidP="007637A8">
                          <w:pPr>
                            <w:rPr>
                              <w:rFonts w:ascii="Poppins Light" w:hAnsi="Poppins Light" w:cs="Poppins Light"/>
                              <w:color w:val="767171" w:themeColor="background2" w:themeShade="80"/>
                              <w:sz w:val="14"/>
                              <w:szCs w:val="14"/>
                            </w:rPr>
                          </w:pPr>
                          <w:r w:rsidRPr="00AE1D92">
                            <w:rPr>
                              <w:rFonts w:ascii="Poppins Light" w:hAnsi="Poppins Light" w:cs="Poppins Light"/>
                              <w:color w:val="767171" w:themeColor="background2" w:themeShade="80"/>
                              <w:sz w:val="14"/>
                              <w:szCs w:val="14"/>
                            </w:rPr>
                            <w:t>Grupa Progres Sp. z o.o.</w:t>
                          </w:r>
                          <w:r w:rsidR="0099390E">
                            <w:rPr>
                              <w:rFonts w:ascii="Poppins Light" w:hAnsi="Poppins Light" w:cs="Poppins Light"/>
                              <w:color w:val="767171" w:themeColor="background2" w:themeShade="80"/>
                              <w:sz w:val="14"/>
                              <w:szCs w:val="14"/>
                            </w:rPr>
                            <w:br/>
                          </w:r>
                          <w:r w:rsidR="007637A8" w:rsidRPr="007637A8">
                            <w:rPr>
                              <w:rFonts w:ascii="Poppins Light" w:hAnsi="Poppins Light" w:cs="Poppins Light"/>
                              <w:color w:val="767171" w:themeColor="background2" w:themeShade="80"/>
                              <w:sz w:val="14"/>
                              <w:szCs w:val="14"/>
                            </w:rPr>
                            <w:t>Adres Al. Grunwaldzka 411, 80-309 Gdańsk,</w:t>
                          </w:r>
                        </w:p>
                        <w:p w14:paraId="352B3CC9" w14:textId="77777777" w:rsidR="009C71E6" w:rsidRPr="001D6D0E" w:rsidRDefault="00AE1D92" w:rsidP="00AE1D92">
                          <w:pPr>
                            <w:rPr>
                              <w:rFonts w:ascii="Poppins Light" w:hAnsi="Poppins Light" w:cs="Poppins Light"/>
                              <w:b/>
                              <w:bCs/>
                              <w:color w:val="767171" w:themeColor="background2" w:themeShade="80"/>
                              <w:sz w:val="14"/>
                              <w:szCs w:val="14"/>
                            </w:rPr>
                          </w:pPr>
                          <w:r w:rsidRPr="00AE1D92">
                            <w:rPr>
                              <w:rFonts w:ascii="Poppins Light" w:hAnsi="Poppins Light" w:cs="Poppins Light"/>
                              <w:color w:val="767171" w:themeColor="background2" w:themeShade="80"/>
                              <w:sz w:val="14"/>
                              <w:szCs w:val="14"/>
                            </w:rPr>
                            <w:t>NIP</w:t>
                          </w:r>
                          <w:r>
                            <w:rPr>
                              <w:rFonts w:ascii="Poppins Light" w:hAnsi="Poppins Light" w:cs="Poppins Light"/>
                              <w:color w:val="767171" w:themeColor="background2" w:themeShade="80"/>
                              <w:sz w:val="14"/>
                              <w:szCs w:val="14"/>
                            </w:rPr>
                            <w:t xml:space="preserve"> </w:t>
                          </w:r>
                          <w:r w:rsidRPr="00AE1D92">
                            <w:rPr>
                              <w:rFonts w:ascii="Poppins Light" w:hAnsi="Poppins Light" w:cs="Poppins Light"/>
                              <w:color w:val="767171" w:themeColor="background2" w:themeShade="80"/>
                              <w:sz w:val="14"/>
                              <w:szCs w:val="14"/>
                            </w:rPr>
                            <w:t>5842739004</w:t>
                          </w:r>
                          <w:r>
                            <w:rPr>
                              <w:rFonts w:ascii="Poppins Light" w:hAnsi="Poppins Light" w:cs="Poppins Light"/>
                              <w:color w:val="767171" w:themeColor="background2" w:themeShade="80"/>
                              <w:sz w:val="14"/>
                              <w:szCs w:val="14"/>
                            </w:rPr>
                            <w:t>,</w:t>
                          </w:r>
                          <w:r w:rsidRPr="00AE1D92">
                            <w:rPr>
                              <w:rFonts w:ascii="Poppins Light" w:hAnsi="Poppins Light" w:cs="Poppins Light"/>
                              <w:color w:val="767171" w:themeColor="background2" w:themeShade="80"/>
                              <w:sz w:val="14"/>
                              <w:szCs w:val="14"/>
                            </w:rPr>
                            <w:t xml:space="preserve"> REGON 360182321</w:t>
                          </w:r>
                          <w:r w:rsidR="000E1AAA">
                            <w:rPr>
                              <w:rFonts w:ascii="Poppins Light" w:hAnsi="Poppins Light" w:cs="Poppins Light"/>
                              <w:color w:val="767171" w:themeColor="background2" w:themeShade="80"/>
                              <w:sz w:val="14"/>
                              <w:szCs w:val="14"/>
                            </w:rPr>
                            <w:t xml:space="preserve">, </w:t>
                          </w:r>
                          <w:r w:rsidR="000E1AAA" w:rsidRPr="000E1AAA">
                            <w:rPr>
                              <w:rFonts w:ascii="Poppins Light" w:hAnsi="Poppins Light" w:cs="Poppins Light"/>
                              <w:color w:val="767171" w:themeColor="background2" w:themeShade="80"/>
                              <w:sz w:val="14"/>
                              <w:szCs w:val="14"/>
                            </w:rPr>
                            <w:t>KRS 0000532455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9A5F6B" id="_x0000_t202" coordsize="21600,21600" o:spt="202" path="m,l,21600r21600,l21600,xe">
              <v:stroke joinstyle="miter"/>
              <v:path gradientshapeok="t" o:connecttype="rect"/>
            </v:shapetype>
            <v:shape id="Pole tekstowe 2" o:spid="_x0000_s1026" type="#_x0000_t202" style="position:absolute;margin-left:-9.15pt;margin-top:9.55pt;width:225.05pt;height:37.1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" filled="f" stroked="f">
              <v:textbox>
                <w:txbxContent>
                  <w:p w14:paraId="7F993FA3" w14:textId="77777777" w:rsidR="007637A8" w:rsidRPr="007637A8" w:rsidRDefault="00AE1D92" w:rsidP="007637A8">
                    <w:pPr>
                      <w:rPr>
                        <w:rFonts w:ascii="Poppins Light" w:hAnsi="Poppins Light" w:cs="Poppins Light"/>
                        <w:color w:val="767171" w:themeColor="background2" w:themeShade="80"/>
                        <w:sz w:val="14"/>
                        <w:szCs w:val="14"/>
                      </w:rPr>
                    </w:pPr>
                    <w:r w:rsidRPr="00AE1D92">
                      <w:rPr>
                        <w:rFonts w:ascii="Poppins Light" w:hAnsi="Poppins Light" w:cs="Poppins Light"/>
                        <w:color w:val="767171" w:themeColor="background2" w:themeShade="80"/>
                        <w:sz w:val="14"/>
                        <w:szCs w:val="14"/>
                      </w:rPr>
                      <w:t>Grupa Progres Sp. z o.o.</w:t>
                    </w:r>
                    <w:r w:rsidR="0099390E">
                      <w:rPr>
                        <w:rFonts w:ascii="Poppins Light" w:hAnsi="Poppins Light" w:cs="Poppins Light"/>
                        <w:color w:val="767171" w:themeColor="background2" w:themeShade="80"/>
                        <w:sz w:val="14"/>
                        <w:szCs w:val="14"/>
                      </w:rPr>
                      <w:br/>
                    </w:r>
                    <w:r w:rsidR="007637A8" w:rsidRPr="007637A8">
                      <w:rPr>
                        <w:rFonts w:ascii="Poppins Light" w:hAnsi="Poppins Light" w:cs="Poppins Light"/>
                        <w:color w:val="767171" w:themeColor="background2" w:themeShade="80"/>
                        <w:sz w:val="14"/>
                        <w:szCs w:val="14"/>
                      </w:rPr>
                      <w:t>Adres Al. Grunwaldzka 411, 80-309 Gdańsk,</w:t>
                    </w:r>
                  </w:p>
                  <w:p w14:paraId="352B3CC9" w14:textId="77777777" w:rsidR="009C71E6" w:rsidRPr="001D6D0E" w:rsidRDefault="00AE1D92" w:rsidP="00AE1D92">
                    <w:pPr>
                      <w:rPr>
                        <w:rFonts w:ascii="Poppins Light" w:hAnsi="Poppins Light" w:cs="Poppins Light"/>
                        <w:b/>
                        <w:bCs/>
                        <w:color w:val="767171" w:themeColor="background2" w:themeShade="80"/>
                        <w:sz w:val="14"/>
                        <w:szCs w:val="14"/>
                      </w:rPr>
                    </w:pPr>
                    <w:r w:rsidRPr="00AE1D92">
                      <w:rPr>
                        <w:rFonts w:ascii="Poppins Light" w:hAnsi="Poppins Light" w:cs="Poppins Light"/>
                        <w:color w:val="767171" w:themeColor="background2" w:themeShade="80"/>
                        <w:sz w:val="14"/>
                        <w:szCs w:val="14"/>
                      </w:rPr>
                      <w:t>NIP</w:t>
                    </w:r>
                    <w:r>
                      <w:rPr>
                        <w:rFonts w:ascii="Poppins Light" w:hAnsi="Poppins Light" w:cs="Poppins Light"/>
                        <w:color w:val="767171" w:themeColor="background2" w:themeShade="80"/>
                        <w:sz w:val="14"/>
                        <w:szCs w:val="14"/>
                      </w:rPr>
                      <w:t xml:space="preserve"> </w:t>
                    </w:r>
                    <w:r w:rsidRPr="00AE1D92">
                      <w:rPr>
                        <w:rFonts w:ascii="Poppins Light" w:hAnsi="Poppins Light" w:cs="Poppins Light"/>
                        <w:color w:val="767171" w:themeColor="background2" w:themeShade="80"/>
                        <w:sz w:val="14"/>
                        <w:szCs w:val="14"/>
                      </w:rPr>
                      <w:t>5842739004</w:t>
                    </w:r>
                    <w:r>
                      <w:rPr>
                        <w:rFonts w:ascii="Poppins Light" w:hAnsi="Poppins Light" w:cs="Poppins Light"/>
                        <w:color w:val="767171" w:themeColor="background2" w:themeShade="80"/>
                        <w:sz w:val="14"/>
                        <w:szCs w:val="14"/>
                      </w:rPr>
                      <w:t>,</w:t>
                    </w:r>
                    <w:r w:rsidRPr="00AE1D92">
                      <w:rPr>
                        <w:rFonts w:ascii="Poppins Light" w:hAnsi="Poppins Light" w:cs="Poppins Light"/>
                        <w:color w:val="767171" w:themeColor="background2" w:themeShade="80"/>
                        <w:sz w:val="14"/>
                        <w:szCs w:val="14"/>
                      </w:rPr>
                      <w:t xml:space="preserve"> REGON 360182321</w:t>
                    </w:r>
                    <w:r w:rsidR="000E1AAA">
                      <w:rPr>
                        <w:rFonts w:ascii="Poppins Light" w:hAnsi="Poppins Light" w:cs="Poppins Light"/>
                        <w:color w:val="767171" w:themeColor="background2" w:themeShade="80"/>
                        <w:sz w:val="14"/>
                        <w:szCs w:val="14"/>
                      </w:rPr>
                      <w:t xml:space="preserve">, </w:t>
                    </w:r>
                    <w:r w:rsidR="000E1AAA" w:rsidRPr="000E1AAA">
                      <w:rPr>
                        <w:rFonts w:ascii="Poppins Light" w:hAnsi="Poppins Light" w:cs="Poppins Light"/>
                        <w:color w:val="767171" w:themeColor="background2" w:themeShade="80"/>
                        <w:sz w:val="14"/>
                        <w:szCs w:val="14"/>
                      </w:rPr>
                      <w:t>KRS 0000532455</w:t>
                    </w:r>
                  </w:p>
                </w:txbxContent>
              </v:textbox>
              <w10:wrap anchorx="margin"/>
            </v:shape>
          </w:pict>
        </mc:Fallback>
      </mc:AlternateContent>
    </w:r>
    <w:r w:rsidR="00114274">
      <w:rPr>
        <w:noProof/>
        <w:lang w:eastAsia="pl-PL"/>
      </w:rPr>
      <mc:AlternateContent>
        <mc:Choice Requires="wps">
          <w:drawing>
            <wp:anchor distT="45720" distB="45720" distL="114300" distR="114300" simplePos="0" relativeHeight="251670528" behindDoc="1" locked="0" layoutInCell="1" allowOverlap="1" wp14:anchorId="65110E38" wp14:editId="5A5B675D">
              <wp:simplePos x="0" y="0"/>
              <wp:positionH relativeFrom="margin">
                <wp:posOffset>3012440</wp:posOffset>
              </wp:positionH>
              <wp:positionV relativeFrom="paragraph">
                <wp:posOffset>122311</wp:posOffset>
              </wp:positionV>
              <wp:extent cx="2858135" cy="550545"/>
              <wp:effectExtent l="0" t="0" r="0" b="1905"/>
              <wp:wrapNone/>
              <wp:docPr id="77841157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8135" cy="550545"/>
                      </a:xfrm>
                      <a:prstGeom prst="rect">
                        <a:avLst/>
                      </a:prstGeom>
                      <a:noFill/>
                      <a:ln w="9525">
                        <a:noFill/>
                        <a:miter lim="800000"/>
                        <a:headEnd/>
                        <a:tailEnd/>
                      </a:ln>
                    </wps:spPr>
                    <wps:txbx>
                      <w:txbxContent>
                        <w:p w14:paraId="49FD3067" w14:textId="77777777" w:rsidR="007637A8" w:rsidRPr="007637A8" w:rsidRDefault="007637A8" w:rsidP="007637A8">
                          <w:pPr>
                            <w:jc w:val="right"/>
                            <w:rPr>
                              <w:rFonts w:ascii="Poppins Light" w:hAnsi="Poppins Light" w:cs="Poppins Light"/>
                              <w:color w:val="767171" w:themeColor="background2" w:themeShade="80"/>
                              <w:sz w:val="14"/>
                              <w:szCs w:val="14"/>
                            </w:rPr>
                          </w:pPr>
                          <w:r w:rsidRPr="007637A8">
                            <w:rPr>
                              <w:rFonts w:ascii="Poppins Light" w:hAnsi="Poppins Light" w:cs="Poppins Light"/>
                              <w:color w:val="767171" w:themeColor="background2" w:themeShade="80"/>
                              <w:sz w:val="14"/>
                              <w:szCs w:val="14"/>
                            </w:rPr>
                            <w:t>+48 58 511 05 50</w:t>
                          </w:r>
                        </w:p>
                        <w:p w14:paraId="1136BA76" w14:textId="77777777" w:rsidR="007637A8" w:rsidRPr="007637A8" w:rsidRDefault="007637A8" w:rsidP="007637A8">
                          <w:pPr>
                            <w:jc w:val="right"/>
                            <w:rPr>
                              <w:rFonts w:ascii="Poppins Light" w:hAnsi="Poppins Light" w:cs="Poppins Light"/>
                              <w:color w:val="767171" w:themeColor="background2" w:themeShade="80"/>
                              <w:sz w:val="14"/>
                              <w:szCs w:val="14"/>
                            </w:rPr>
                          </w:pPr>
                          <w:r w:rsidRPr="007637A8">
                            <w:rPr>
                              <w:rFonts w:ascii="Poppins Light" w:hAnsi="Poppins Light" w:cs="Poppins Light"/>
                              <w:color w:val="767171" w:themeColor="background2" w:themeShade="80"/>
                              <w:sz w:val="14"/>
                              <w:szCs w:val="14"/>
                            </w:rPr>
                            <w:t>kontakt@grupaprogres.pl</w:t>
                          </w:r>
                        </w:p>
                        <w:p w14:paraId="7B9BE893" w14:textId="77777777" w:rsidR="007637A8" w:rsidRPr="007637A8" w:rsidRDefault="007637A8" w:rsidP="007637A8">
                          <w:pPr>
                            <w:jc w:val="right"/>
                            <w:rPr>
                              <w:rFonts w:ascii="Poppins Light" w:hAnsi="Poppins Light" w:cs="Poppins Light"/>
                              <w:color w:val="767171" w:themeColor="background2" w:themeShade="80"/>
                              <w:sz w:val="14"/>
                              <w:szCs w:val="14"/>
                            </w:rPr>
                          </w:pPr>
                          <w:r w:rsidRPr="007637A8">
                            <w:rPr>
                              <w:rFonts w:ascii="Poppins Light" w:hAnsi="Poppins Light" w:cs="Poppins Light"/>
                              <w:color w:val="767171" w:themeColor="background2" w:themeShade="80"/>
                              <w:sz w:val="14"/>
                              <w:szCs w:val="14"/>
                            </w:rPr>
                            <w:t>www.grupaprogres.pl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110E38" id="_x0000_s1027" type="#_x0000_t202" style="position:absolute;margin-left:237.2pt;margin-top:9.65pt;width:225.05pt;height:43.35pt;z-index:-251645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" filled="f" stroked="f">
              <v:textbox>
                <w:txbxContent>
                  <w:p w14:paraId="49FD3067" w14:textId="77777777" w:rsidR="007637A8" w:rsidRPr="007637A8" w:rsidRDefault="007637A8" w:rsidP="007637A8">
                    <w:pPr>
                      <w:jc w:val="right"/>
                      <w:rPr>
                        <w:rFonts w:ascii="Poppins Light" w:hAnsi="Poppins Light" w:cs="Poppins Light"/>
                        <w:color w:val="767171" w:themeColor="background2" w:themeShade="80"/>
                        <w:sz w:val="14"/>
                        <w:szCs w:val="14"/>
                      </w:rPr>
                    </w:pPr>
                    <w:r w:rsidRPr="007637A8">
                      <w:rPr>
                        <w:rFonts w:ascii="Poppins Light" w:hAnsi="Poppins Light" w:cs="Poppins Light"/>
                        <w:color w:val="767171" w:themeColor="background2" w:themeShade="80"/>
                        <w:sz w:val="14"/>
                        <w:szCs w:val="14"/>
                      </w:rPr>
                      <w:t>+48 58 511 05 50</w:t>
                    </w:r>
                  </w:p>
                  <w:p w14:paraId="1136BA76" w14:textId="77777777" w:rsidR="007637A8" w:rsidRPr="007637A8" w:rsidRDefault="007637A8" w:rsidP="007637A8">
                    <w:pPr>
                      <w:jc w:val="right"/>
                      <w:rPr>
                        <w:rFonts w:ascii="Poppins Light" w:hAnsi="Poppins Light" w:cs="Poppins Light"/>
                        <w:color w:val="767171" w:themeColor="background2" w:themeShade="80"/>
                        <w:sz w:val="14"/>
                        <w:szCs w:val="14"/>
                      </w:rPr>
                    </w:pPr>
                    <w:r w:rsidRPr="007637A8">
                      <w:rPr>
                        <w:rFonts w:ascii="Poppins Light" w:hAnsi="Poppins Light" w:cs="Poppins Light"/>
                        <w:color w:val="767171" w:themeColor="background2" w:themeShade="80"/>
                        <w:sz w:val="14"/>
                        <w:szCs w:val="14"/>
                      </w:rPr>
                      <w:t>kontakt@grupaprogres.pl</w:t>
                    </w:r>
                  </w:p>
                  <w:p w14:paraId="7B9BE893" w14:textId="77777777" w:rsidR="007637A8" w:rsidRPr="007637A8" w:rsidRDefault="007637A8" w:rsidP="007637A8">
                    <w:pPr>
                      <w:jc w:val="right"/>
                      <w:rPr>
                        <w:rFonts w:ascii="Poppins Light" w:hAnsi="Poppins Light" w:cs="Poppins Light"/>
                        <w:color w:val="767171" w:themeColor="background2" w:themeShade="80"/>
                        <w:sz w:val="14"/>
                        <w:szCs w:val="14"/>
                      </w:rPr>
                    </w:pPr>
                    <w:r w:rsidRPr="007637A8">
                      <w:rPr>
                        <w:rFonts w:ascii="Poppins Light" w:hAnsi="Poppins Light" w:cs="Poppins Light"/>
                        <w:color w:val="767171" w:themeColor="background2" w:themeShade="80"/>
                        <w:sz w:val="14"/>
                        <w:szCs w:val="14"/>
                      </w:rPr>
                      <w:t>www.grupaprogres.pl</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E229F0" w14:textId="77777777" w:rsidR="0099390E" w:rsidRDefault="0099390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008261" w14:textId="77777777" w:rsidR="007B4F98" w:rsidRDefault="007B4F98" w:rsidP="00B332FF">
      <w:r>
        <w:separator/>
      </w:r>
    </w:p>
  </w:footnote>
  <w:footnote w:type="continuationSeparator" w:id="0">
    <w:p w14:paraId="580CBCDB" w14:textId="77777777" w:rsidR="007B4F98" w:rsidRDefault="007B4F98" w:rsidP="00B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16FC8C" w14:textId="77777777" w:rsidR="0099390E" w:rsidRDefault="0099390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240325" w14:textId="77777777" w:rsidR="00A7049D" w:rsidRDefault="00BE55F3" w:rsidP="004E0946">
    <w:pPr>
      <w:pStyle w:val="Nagwek"/>
      <w:tabs>
        <w:tab w:val="clear" w:pos="4536"/>
      </w:tabs>
    </w:pPr>
    <w:r>
      <w:rPr>
        <w:noProof/>
      </w:rPr>
      <w:drawing>
        <wp:inline distT="0" distB="0" distL="0" distR="0" wp14:anchorId="23404AEF" wp14:editId="7487828C">
          <wp:extent cx="2055641" cy="250825"/>
          <wp:effectExtent l="0" t="0" r="1905" b="0"/>
          <wp:docPr id="845146880"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4506" cy="28607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4B4B8A" w14:textId="77777777" w:rsidR="0099390E" w:rsidRDefault="0099390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585370"/>
    <w:multiLevelType w:val="hybridMultilevel"/>
    <w:tmpl w:val="10A60F08"/>
    <w:lvl w:ilvl="0" w:tplc="09E2651C">
      <w:start w:val="1"/>
      <w:numFmt w:val="bullet"/>
      <w:lvlText w:val=""/>
      <w:lvlJc w:val="left"/>
      <w:pPr>
        <w:ind w:left="720" w:hanging="360"/>
      </w:pPr>
      <w:rPr>
        <w:rFonts w:ascii="Symbol" w:hAnsi="Symbol" w:hint="default"/>
        <w:color w:val="ED7D31" w:themeColor="accen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43E0808"/>
    <w:multiLevelType w:val="multilevel"/>
    <w:tmpl w:val="19B6DF1A"/>
    <w:lvl w:ilvl="0">
      <w:start w:val="1"/>
      <w:numFmt w:val="decimal"/>
      <w:lvlText w:val="%1."/>
      <w:lvlJc w:val="left"/>
      <w:pPr>
        <w:ind w:left="360" w:hanging="360"/>
      </w:pPr>
      <w:rPr>
        <w:rFonts w:hint="default"/>
        <w:b/>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28130E81"/>
    <w:multiLevelType w:val="multilevel"/>
    <w:tmpl w:val="28C442A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296D6A03"/>
    <w:multiLevelType w:val="hybridMultilevel"/>
    <w:tmpl w:val="A3603D5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38321B8E"/>
    <w:multiLevelType w:val="hybridMultilevel"/>
    <w:tmpl w:val="B71C29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9506946"/>
    <w:multiLevelType w:val="hybridMultilevel"/>
    <w:tmpl w:val="BAFE3F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C944532"/>
    <w:multiLevelType w:val="hybridMultilevel"/>
    <w:tmpl w:val="813C42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C755D6A"/>
    <w:multiLevelType w:val="hybridMultilevel"/>
    <w:tmpl w:val="F4EA6D9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64FB4097"/>
    <w:multiLevelType w:val="hybridMultilevel"/>
    <w:tmpl w:val="CF4AE0A8"/>
    <w:lvl w:ilvl="0" w:tplc="0415000F">
      <w:start w:val="1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66040696"/>
    <w:multiLevelType w:val="hybridMultilevel"/>
    <w:tmpl w:val="F9A495DE"/>
    <w:lvl w:ilvl="0" w:tplc="DD6C1062">
      <w:start w:val="1"/>
      <w:numFmt w:val="bullet"/>
      <w:lvlText w:val=""/>
      <w:lvlJc w:val="left"/>
      <w:pPr>
        <w:ind w:left="720" w:hanging="360"/>
      </w:pPr>
      <w:rPr>
        <w:rFonts w:ascii="Symbol" w:hAnsi="Symbol" w:hint="default"/>
        <w:color w:val="ED7D31" w:themeColor="accen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6F835758"/>
    <w:multiLevelType w:val="multilevel"/>
    <w:tmpl w:val="3CBC8B1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77501B28"/>
    <w:multiLevelType w:val="hybridMultilevel"/>
    <w:tmpl w:val="8EF4B0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601771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04859667">
    <w:abstractNumId w:val="7"/>
  </w:num>
  <w:num w:numId="3" w16cid:durableId="28721064">
    <w:abstractNumId w:val="9"/>
  </w:num>
  <w:num w:numId="4" w16cid:durableId="222722216">
    <w:abstractNumId w:val="1"/>
  </w:num>
  <w:num w:numId="5" w16cid:durableId="2076078049">
    <w:abstractNumId w:val="8"/>
  </w:num>
  <w:num w:numId="6" w16cid:durableId="765728980">
    <w:abstractNumId w:val="2"/>
  </w:num>
  <w:num w:numId="7" w16cid:durableId="1094592071">
    <w:abstractNumId w:val="10"/>
  </w:num>
  <w:num w:numId="8" w16cid:durableId="1675380434">
    <w:abstractNumId w:val="0"/>
  </w:num>
  <w:num w:numId="9" w16cid:durableId="661813255">
    <w:abstractNumId w:val="11"/>
  </w:num>
  <w:num w:numId="10" w16cid:durableId="1375808896">
    <w:abstractNumId w:val="4"/>
  </w:num>
  <w:num w:numId="11" w16cid:durableId="778179398">
    <w:abstractNumId w:val="3"/>
  </w:num>
  <w:num w:numId="12" w16cid:durableId="1663847640">
    <w:abstractNumId w:val="6"/>
  </w:num>
  <w:num w:numId="13" w16cid:durableId="9005038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504"/>
    <w:rsid w:val="000030BA"/>
    <w:rsid w:val="000300CB"/>
    <w:rsid w:val="0004328F"/>
    <w:rsid w:val="00054831"/>
    <w:rsid w:val="0006010A"/>
    <w:rsid w:val="0006163F"/>
    <w:rsid w:val="000839C6"/>
    <w:rsid w:val="00090A35"/>
    <w:rsid w:val="000924FC"/>
    <w:rsid w:val="000C1CED"/>
    <w:rsid w:val="000C6B49"/>
    <w:rsid w:val="000E1AAA"/>
    <w:rsid w:val="000E6326"/>
    <w:rsid w:val="000F4ABB"/>
    <w:rsid w:val="00101D1C"/>
    <w:rsid w:val="001070AA"/>
    <w:rsid w:val="00114250"/>
    <w:rsid w:val="00114274"/>
    <w:rsid w:val="0014661E"/>
    <w:rsid w:val="001506B1"/>
    <w:rsid w:val="00161F41"/>
    <w:rsid w:val="00165696"/>
    <w:rsid w:val="00167064"/>
    <w:rsid w:val="00175134"/>
    <w:rsid w:val="00175ACE"/>
    <w:rsid w:val="00177301"/>
    <w:rsid w:val="00181865"/>
    <w:rsid w:val="001834B1"/>
    <w:rsid w:val="00183BAA"/>
    <w:rsid w:val="00187058"/>
    <w:rsid w:val="0018770E"/>
    <w:rsid w:val="00197B46"/>
    <w:rsid w:val="001B1E26"/>
    <w:rsid w:val="001D0663"/>
    <w:rsid w:val="001D6D0E"/>
    <w:rsid w:val="001E3D59"/>
    <w:rsid w:val="001E5866"/>
    <w:rsid w:val="001E7CE2"/>
    <w:rsid w:val="001F0E61"/>
    <w:rsid w:val="001F5C4F"/>
    <w:rsid w:val="00200AE5"/>
    <w:rsid w:val="0021569F"/>
    <w:rsid w:val="00220ABE"/>
    <w:rsid w:val="002431E7"/>
    <w:rsid w:val="00276015"/>
    <w:rsid w:val="0028461A"/>
    <w:rsid w:val="002979BE"/>
    <w:rsid w:val="002B25D5"/>
    <w:rsid w:val="002B7B64"/>
    <w:rsid w:val="002D41A7"/>
    <w:rsid w:val="002F0BB1"/>
    <w:rsid w:val="00305DB2"/>
    <w:rsid w:val="00306302"/>
    <w:rsid w:val="003063A1"/>
    <w:rsid w:val="0032285B"/>
    <w:rsid w:val="003327A9"/>
    <w:rsid w:val="00334A32"/>
    <w:rsid w:val="00340D81"/>
    <w:rsid w:val="0034256F"/>
    <w:rsid w:val="00342FC4"/>
    <w:rsid w:val="00343BA7"/>
    <w:rsid w:val="00345D91"/>
    <w:rsid w:val="00367811"/>
    <w:rsid w:val="00382FB1"/>
    <w:rsid w:val="00386092"/>
    <w:rsid w:val="003A19F3"/>
    <w:rsid w:val="003B2C2A"/>
    <w:rsid w:val="003D6C17"/>
    <w:rsid w:val="003F3027"/>
    <w:rsid w:val="003F76C4"/>
    <w:rsid w:val="004029C4"/>
    <w:rsid w:val="004147EA"/>
    <w:rsid w:val="0041525E"/>
    <w:rsid w:val="0043469B"/>
    <w:rsid w:val="00447620"/>
    <w:rsid w:val="00447A5D"/>
    <w:rsid w:val="00451150"/>
    <w:rsid w:val="00454537"/>
    <w:rsid w:val="00465B97"/>
    <w:rsid w:val="00474CA1"/>
    <w:rsid w:val="004815B8"/>
    <w:rsid w:val="00481688"/>
    <w:rsid w:val="004903D7"/>
    <w:rsid w:val="00496B4C"/>
    <w:rsid w:val="004A1B85"/>
    <w:rsid w:val="004A6CC6"/>
    <w:rsid w:val="004B7063"/>
    <w:rsid w:val="004C4E03"/>
    <w:rsid w:val="004C7374"/>
    <w:rsid w:val="004D06E3"/>
    <w:rsid w:val="004E0946"/>
    <w:rsid w:val="004E572F"/>
    <w:rsid w:val="005321B7"/>
    <w:rsid w:val="00540F74"/>
    <w:rsid w:val="00542EF3"/>
    <w:rsid w:val="00546A41"/>
    <w:rsid w:val="00553F38"/>
    <w:rsid w:val="00554ACF"/>
    <w:rsid w:val="0056082F"/>
    <w:rsid w:val="00571AAA"/>
    <w:rsid w:val="0058312D"/>
    <w:rsid w:val="00591FDA"/>
    <w:rsid w:val="005B7B2B"/>
    <w:rsid w:val="005D7980"/>
    <w:rsid w:val="005E4DE0"/>
    <w:rsid w:val="006122FB"/>
    <w:rsid w:val="00622407"/>
    <w:rsid w:val="00625F13"/>
    <w:rsid w:val="00632AC9"/>
    <w:rsid w:val="00656E61"/>
    <w:rsid w:val="00662145"/>
    <w:rsid w:val="0066258C"/>
    <w:rsid w:val="00670266"/>
    <w:rsid w:val="006710CA"/>
    <w:rsid w:val="006720F0"/>
    <w:rsid w:val="00673502"/>
    <w:rsid w:val="006751EB"/>
    <w:rsid w:val="006A030A"/>
    <w:rsid w:val="006C417A"/>
    <w:rsid w:val="006F4D59"/>
    <w:rsid w:val="007031DB"/>
    <w:rsid w:val="007207B1"/>
    <w:rsid w:val="00726343"/>
    <w:rsid w:val="00732A7D"/>
    <w:rsid w:val="00734051"/>
    <w:rsid w:val="00735EF3"/>
    <w:rsid w:val="007523FD"/>
    <w:rsid w:val="0076055E"/>
    <w:rsid w:val="007637A8"/>
    <w:rsid w:val="0078550F"/>
    <w:rsid w:val="00790E33"/>
    <w:rsid w:val="00793716"/>
    <w:rsid w:val="007A0433"/>
    <w:rsid w:val="007B4F98"/>
    <w:rsid w:val="007B5851"/>
    <w:rsid w:val="007C4A8E"/>
    <w:rsid w:val="007C4F94"/>
    <w:rsid w:val="007E29E1"/>
    <w:rsid w:val="0080330A"/>
    <w:rsid w:val="0080712A"/>
    <w:rsid w:val="00814FE1"/>
    <w:rsid w:val="00816D92"/>
    <w:rsid w:val="00856D2D"/>
    <w:rsid w:val="0089087A"/>
    <w:rsid w:val="008B7179"/>
    <w:rsid w:val="008B7F2D"/>
    <w:rsid w:val="008C385E"/>
    <w:rsid w:val="008C7CF2"/>
    <w:rsid w:val="008E2911"/>
    <w:rsid w:val="008E33AE"/>
    <w:rsid w:val="0092415D"/>
    <w:rsid w:val="009345CB"/>
    <w:rsid w:val="00935D0B"/>
    <w:rsid w:val="0094424D"/>
    <w:rsid w:val="0094428A"/>
    <w:rsid w:val="00954736"/>
    <w:rsid w:val="009578A6"/>
    <w:rsid w:val="0099390E"/>
    <w:rsid w:val="009A09C9"/>
    <w:rsid w:val="009C033B"/>
    <w:rsid w:val="009C1B7E"/>
    <w:rsid w:val="009C71E6"/>
    <w:rsid w:val="009E5B91"/>
    <w:rsid w:val="009F2DEC"/>
    <w:rsid w:val="009F7EC3"/>
    <w:rsid w:val="00A043F3"/>
    <w:rsid w:val="00A11E1D"/>
    <w:rsid w:val="00A22AC8"/>
    <w:rsid w:val="00A25E09"/>
    <w:rsid w:val="00A30BED"/>
    <w:rsid w:val="00A4496F"/>
    <w:rsid w:val="00A51614"/>
    <w:rsid w:val="00A53480"/>
    <w:rsid w:val="00A61758"/>
    <w:rsid w:val="00A636C7"/>
    <w:rsid w:val="00A7049D"/>
    <w:rsid w:val="00A8705E"/>
    <w:rsid w:val="00A87FE3"/>
    <w:rsid w:val="00A91B38"/>
    <w:rsid w:val="00A92ED7"/>
    <w:rsid w:val="00AA39B5"/>
    <w:rsid w:val="00AA76C6"/>
    <w:rsid w:val="00AA7EA1"/>
    <w:rsid w:val="00AB0E67"/>
    <w:rsid w:val="00AC7411"/>
    <w:rsid w:val="00AD43A7"/>
    <w:rsid w:val="00AE1D92"/>
    <w:rsid w:val="00AF007D"/>
    <w:rsid w:val="00B12504"/>
    <w:rsid w:val="00B332FF"/>
    <w:rsid w:val="00B66167"/>
    <w:rsid w:val="00B70987"/>
    <w:rsid w:val="00B74448"/>
    <w:rsid w:val="00B87BFE"/>
    <w:rsid w:val="00B9707D"/>
    <w:rsid w:val="00BA59BB"/>
    <w:rsid w:val="00BC11C0"/>
    <w:rsid w:val="00BD08B6"/>
    <w:rsid w:val="00BD23EA"/>
    <w:rsid w:val="00BE3750"/>
    <w:rsid w:val="00BE3851"/>
    <w:rsid w:val="00BE55F3"/>
    <w:rsid w:val="00BE6D6D"/>
    <w:rsid w:val="00BE7867"/>
    <w:rsid w:val="00C14DEA"/>
    <w:rsid w:val="00C158C5"/>
    <w:rsid w:val="00C15AAA"/>
    <w:rsid w:val="00C40C2D"/>
    <w:rsid w:val="00C6288F"/>
    <w:rsid w:val="00C65822"/>
    <w:rsid w:val="00C668A0"/>
    <w:rsid w:val="00C71DB4"/>
    <w:rsid w:val="00C740EC"/>
    <w:rsid w:val="00C768FD"/>
    <w:rsid w:val="00C76FAF"/>
    <w:rsid w:val="00C93A0D"/>
    <w:rsid w:val="00C95145"/>
    <w:rsid w:val="00C96978"/>
    <w:rsid w:val="00CD0BDA"/>
    <w:rsid w:val="00CF225F"/>
    <w:rsid w:val="00CF260D"/>
    <w:rsid w:val="00D0543B"/>
    <w:rsid w:val="00D24642"/>
    <w:rsid w:val="00D3137D"/>
    <w:rsid w:val="00D37620"/>
    <w:rsid w:val="00D404AC"/>
    <w:rsid w:val="00D42414"/>
    <w:rsid w:val="00D4483B"/>
    <w:rsid w:val="00D6608F"/>
    <w:rsid w:val="00D734A0"/>
    <w:rsid w:val="00D76D34"/>
    <w:rsid w:val="00D87CBE"/>
    <w:rsid w:val="00DB1C3F"/>
    <w:rsid w:val="00DB3137"/>
    <w:rsid w:val="00DB317F"/>
    <w:rsid w:val="00DB5979"/>
    <w:rsid w:val="00DC0042"/>
    <w:rsid w:val="00DC40A9"/>
    <w:rsid w:val="00DF0205"/>
    <w:rsid w:val="00DF4FA2"/>
    <w:rsid w:val="00DF5583"/>
    <w:rsid w:val="00E05455"/>
    <w:rsid w:val="00E05CD5"/>
    <w:rsid w:val="00E36300"/>
    <w:rsid w:val="00E373E4"/>
    <w:rsid w:val="00E45F38"/>
    <w:rsid w:val="00E46165"/>
    <w:rsid w:val="00E50385"/>
    <w:rsid w:val="00E65520"/>
    <w:rsid w:val="00E8737F"/>
    <w:rsid w:val="00E91B81"/>
    <w:rsid w:val="00E9624B"/>
    <w:rsid w:val="00EA158C"/>
    <w:rsid w:val="00EC74E8"/>
    <w:rsid w:val="00ED06F1"/>
    <w:rsid w:val="00ED62E3"/>
    <w:rsid w:val="00EE0E22"/>
    <w:rsid w:val="00EE3A0E"/>
    <w:rsid w:val="00EE6AB9"/>
    <w:rsid w:val="00F03A2F"/>
    <w:rsid w:val="00F04C8F"/>
    <w:rsid w:val="00F06EF0"/>
    <w:rsid w:val="00F15133"/>
    <w:rsid w:val="00F21159"/>
    <w:rsid w:val="00F47D77"/>
    <w:rsid w:val="00F523B7"/>
    <w:rsid w:val="00F62098"/>
    <w:rsid w:val="00F67A48"/>
    <w:rsid w:val="00F8021C"/>
    <w:rsid w:val="00F802C4"/>
    <w:rsid w:val="00F92323"/>
    <w:rsid w:val="00F95C89"/>
    <w:rsid w:val="00FD28F2"/>
    <w:rsid w:val="00FD3F6A"/>
    <w:rsid w:val="00FD4963"/>
    <w:rsid w:val="00FE13CB"/>
    <w:rsid w:val="00FE14EA"/>
    <w:rsid w:val="00FF64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88781"/>
  <w15:chartTrackingRefBased/>
  <w15:docId w15:val="{0B74509B-D99D-B34F-8FAC-B741B5ED3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A39B5"/>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link w:val="Nagwek1Znak"/>
    <w:uiPriority w:val="9"/>
    <w:qFormat/>
    <w:rsid w:val="00305DB2"/>
    <w:pPr>
      <w:spacing w:before="100" w:beforeAutospacing="1" w:after="100" w:afterAutospacing="1"/>
      <w:outlineLvl w:val="0"/>
    </w:pPr>
    <w:rPr>
      <w:b/>
      <w:bCs/>
      <w:kern w:val="36"/>
      <w:sz w:val="48"/>
      <w:szCs w:val="48"/>
    </w:rPr>
  </w:style>
  <w:style w:type="paragraph" w:styleId="Nagwek2">
    <w:name w:val="heading 2"/>
    <w:basedOn w:val="Normalny"/>
    <w:next w:val="Normalny"/>
    <w:link w:val="Nagwek2Znak"/>
    <w:uiPriority w:val="9"/>
    <w:semiHidden/>
    <w:unhideWhenUsed/>
    <w:qFormat/>
    <w:rsid w:val="00D87CBE"/>
    <w:pPr>
      <w:keepNext/>
      <w:keepLines/>
      <w:spacing w:before="40"/>
      <w:outlineLvl w:val="1"/>
    </w:pPr>
    <w:rPr>
      <w:rFonts w:asciiTheme="majorHAnsi" w:eastAsiaTheme="majorEastAsia" w:hAnsiTheme="majorHAnsi" w:cstheme="majorBidi"/>
      <w:color w:val="7B3464" w:themeColor="accent1" w:themeShade="BF"/>
      <w:sz w:val="26"/>
      <w:szCs w:val="26"/>
      <w:lang w:eastAsia="en-US"/>
    </w:rPr>
  </w:style>
  <w:style w:type="paragraph" w:styleId="Nagwek3">
    <w:name w:val="heading 3"/>
    <w:basedOn w:val="Normalny"/>
    <w:link w:val="Nagwek3Znak"/>
    <w:uiPriority w:val="9"/>
    <w:qFormat/>
    <w:rsid w:val="00305DB2"/>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A22AC8"/>
    <w:rPr>
      <w:rFonts w:ascii="Segoe UI" w:eastAsiaTheme="minorHAnsi" w:hAnsi="Segoe UI" w:cs="Segoe UI"/>
      <w:sz w:val="18"/>
      <w:szCs w:val="18"/>
      <w:lang w:eastAsia="en-US"/>
    </w:rPr>
  </w:style>
  <w:style w:type="character" w:customStyle="1" w:styleId="TekstdymkaZnak">
    <w:name w:val="Tekst dymka Znak"/>
    <w:basedOn w:val="Domylnaczcionkaakapitu"/>
    <w:link w:val="Tekstdymka"/>
    <w:uiPriority w:val="99"/>
    <w:semiHidden/>
    <w:rsid w:val="00A22AC8"/>
    <w:rPr>
      <w:rFonts w:ascii="Segoe UI" w:hAnsi="Segoe UI" w:cs="Segoe UI"/>
      <w:sz w:val="18"/>
      <w:szCs w:val="18"/>
    </w:rPr>
  </w:style>
  <w:style w:type="paragraph" w:styleId="Nagwek">
    <w:name w:val="header"/>
    <w:basedOn w:val="Normalny"/>
    <w:link w:val="NagwekZnak"/>
    <w:uiPriority w:val="99"/>
    <w:unhideWhenUsed/>
    <w:rsid w:val="00B332FF"/>
    <w:pPr>
      <w:tabs>
        <w:tab w:val="center" w:pos="4536"/>
        <w:tab w:val="right" w:pos="9072"/>
      </w:tabs>
    </w:pPr>
    <w:rPr>
      <w:rFonts w:ascii="Calibri" w:eastAsiaTheme="minorHAnsi" w:hAnsi="Calibri" w:cs="Calibri"/>
      <w:sz w:val="22"/>
      <w:szCs w:val="22"/>
      <w:lang w:eastAsia="en-US"/>
    </w:rPr>
  </w:style>
  <w:style w:type="character" w:customStyle="1" w:styleId="NagwekZnak">
    <w:name w:val="Nagłówek Znak"/>
    <w:basedOn w:val="Domylnaczcionkaakapitu"/>
    <w:link w:val="Nagwek"/>
    <w:uiPriority w:val="99"/>
    <w:rsid w:val="00B332FF"/>
    <w:rPr>
      <w:rFonts w:ascii="Calibri" w:hAnsi="Calibri" w:cs="Calibri"/>
    </w:rPr>
  </w:style>
  <w:style w:type="paragraph" w:styleId="Stopka">
    <w:name w:val="footer"/>
    <w:basedOn w:val="Normalny"/>
    <w:link w:val="StopkaZnak"/>
    <w:uiPriority w:val="99"/>
    <w:unhideWhenUsed/>
    <w:rsid w:val="00B332FF"/>
    <w:pPr>
      <w:tabs>
        <w:tab w:val="center" w:pos="4536"/>
        <w:tab w:val="right" w:pos="9072"/>
      </w:tabs>
    </w:pPr>
    <w:rPr>
      <w:rFonts w:ascii="Calibri" w:eastAsiaTheme="minorHAnsi" w:hAnsi="Calibri" w:cs="Calibri"/>
      <w:sz w:val="22"/>
      <w:szCs w:val="22"/>
      <w:lang w:eastAsia="en-US"/>
    </w:rPr>
  </w:style>
  <w:style w:type="character" w:customStyle="1" w:styleId="StopkaZnak">
    <w:name w:val="Stopka Znak"/>
    <w:basedOn w:val="Domylnaczcionkaakapitu"/>
    <w:link w:val="Stopka"/>
    <w:uiPriority w:val="99"/>
    <w:rsid w:val="00B332FF"/>
    <w:rPr>
      <w:rFonts w:ascii="Calibri" w:hAnsi="Calibri" w:cs="Calibri"/>
    </w:rPr>
  </w:style>
  <w:style w:type="paragraph" w:styleId="NormalnyWeb">
    <w:name w:val="Normal (Web)"/>
    <w:basedOn w:val="Normalny"/>
    <w:uiPriority w:val="99"/>
    <w:unhideWhenUsed/>
    <w:rsid w:val="00A636C7"/>
    <w:pPr>
      <w:spacing w:before="100" w:beforeAutospacing="1" w:after="100" w:afterAutospacing="1"/>
    </w:pPr>
  </w:style>
  <w:style w:type="paragraph" w:styleId="Akapitzlist">
    <w:name w:val="List Paragraph"/>
    <w:basedOn w:val="Normalny"/>
    <w:uiPriority w:val="34"/>
    <w:qFormat/>
    <w:rsid w:val="0089087A"/>
    <w:pPr>
      <w:ind w:left="720"/>
      <w:contextualSpacing/>
    </w:pPr>
    <w:rPr>
      <w:rFonts w:ascii="Calibri" w:eastAsiaTheme="minorHAnsi" w:hAnsi="Calibri" w:cs="Calibri"/>
      <w:sz w:val="22"/>
      <w:szCs w:val="22"/>
      <w:lang w:eastAsia="en-US"/>
    </w:rPr>
  </w:style>
  <w:style w:type="paragraph" w:customStyle="1" w:styleId="Default">
    <w:name w:val="Default"/>
    <w:rsid w:val="004815B8"/>
    <w:pPr>
      <w:autoSpaceDE w:val="0"/>
      <w:autoSpaceDN w:val="0"/>
      <w:adjustRightInd w:val="0"/>
      <w:spacing w:after="0" w:line="240" w:lineRule="auto"/>
    </w:pPr>
    <w:rPr>
      <w:rFonts w:ascii="Myriad Pro" w:hAnsi="Myriad Pro" w:cs="Myriad Pro"/>
      <w:color w:val="000000"/>
      <w:sz w:val="24"/>
      <w:szCs w:val="24"/>
    </w:rPr>
  </w:style>
  <w:style w:type="character" w:customStyle="1" w:styleId="A5">
    <w:name w:val="A5"/>
    <w:uiPriority w:val="99"/>
    <w:rsid w:val="004815B8"/>
    <w:rPr>
      <w:rFonts w:cs="Myriad Pro"/>
      <w:b/>
      <w:bCs/>
      <w:color w:val="000000"/>
      <w:sz w:val="90"/>
      <w:szCs w:val="90"/>
    </w:rPr>
  </w:style>
  <w:style w:type="character" w:styleId="Hipercze">
    <w:name w:val="Hyperlink"/>
    <w:basedOn w:val="Domylnaczcionkaakapitu"/>
    <w:uiPriority w:val="99"/>
    <w:unhideWhenUsed/>
    <w:rsid w:val="00EE6AB9"/>
    <w:rPr>
      <w:color w:val="0563C1" w:themeColor="hyperlink"/>
      <w:u w:val="single"/>
    </w:rPr>
  </w:style>
  <w:style w:type="character" w:styleId="Nierozpoznanawzmianka">
    <w:name w:val="Unresolved Mention"/>
    <w:basedOn w:val="Domylnaczcionkaakapitu"/>
    <w:uiPriority w:val="99"/>
    <w:semiHidden/>
    <w:unhideWhenUsed/>
    <w:rsid w:val="00EE6AB9"/>
    <w:rPr>
      <w:color w:val="605E5C"/>
      <w:shd w:val="clear" w:color="auto" w:fill="E1DFDD"/>
    </w:rPr>
  </w:style>
  <w:style w:type="character" w:customStyle="1" w:styleId="Nagwek1Znak">
    <w:name w:val="Nagłówek 1 Znak"/>
    <w:basedOn w:val="Domylnaczcionkaakapitu"/>
    <w:link w:val="Nagwek1"/>
    <w:uiPriority w:val="9"/>
    <w:rsid w:val="00305DB2"/>
    <w:rPr>
      <w:rFonts w:ascii="Times New Roman" w:eastAsia="Times New Roman" w:hAnsi="Times New Roman" w:cs="Times New Roman"/>
      <w:b/>
      <w:bCs/>
      <w:kern w:val="36"/>
      <w:sz w:val="48"/>
      <w:szCs w:val="48"/>
      <w:lang w:eastAsia="pl-PL"/>
    </w:rPr>
  </w:style>
  <w:style w:type="character" w:customStyle="1" w:styleId="Nagwek3Znak">
    <w:name w:val="Nagłówek 3 Znak"/>
    <w:basedOn w:val="Domylnaczcionkaakapitu"/>
    <w:link w:val="Nagwek3"/>
    <w:uiPriority w:val="9"/>
    <w:rsid w:val="00305DB2"/>
    <w:rPr>
      <w:rFonts w:ascii="Times New Roman" w:eastAsia="Times New Roman" w:hAnsi="Times New Roman" w:cs="Times New Roman"/>
      <w:b/>
      <w:bCs/>
      <w:sz w:val="27"/>
      <w:szCs w:val="27"/>
      <w:lang w:eastAsia="pl-PL"/>
    </w:rPr>
  </w:style>
  <w:style w:type="character" w:styleId="Pogrubienie">
    <w:name w:val="Strong"/>
    <w:basedOn w:val="Domylnaczcionkaakapitu"/>
    <w:uiPriority w:val="22"/>
    <w:qFormat/>
    <w:rsid w:val="00305DB2"/>
    <w:rPr>
      <w:b/>
      <w:bCs/>
    </w:rPr>
  </w:style>
  <w:style w:type="character" w:styleId="Uwydatnienie">
    <w:name w:val="Emphasis"/>
    <w:basedOn w:val="Domylnaczcionkaakapitu"/>
    <w:uiPriority w:val="20"/>
    <w:qFormat/>
    <w:rsid w:val="00305DB2"/>
    <w:rPr>
      <w:i/>
      <w:iCs/>
    </w:rPr>
  </w:style>
  <w:style w:type="paragraph" w:customStyle="1" w:styleId="isselectedend">
    <w:name w:val="isselectedend"/>
    <w:basedOn w:val="Normalny"/>
    <w:rsid w:val="00CF260D"/>
    <w:pPr>
      <w:spacing w:before="100" w:beforeAutospacing="1" w:after="100" w:afterAutospacing="1"/>
    </w:pPr>
  </w:style>
  <w:style w:type="character" w:customStyle="1" w:styleId="Nagwek2Znak">
    <w:name w:val="Nagłówek 2 Znak"/>
    <w:basedOn w:val="Domylnaczcionkaakapitu"/>
    <w:link w:val="Nagwek2"/>
    <w:uiPriority w:val="9"/>
    <w:semiHidden/>
    <w:rsid w:val="00D87CBE"/>
    <w:rPr>
      <w:rFonts w:asciiTheme="majorHAnsi" w:eastAsiaTheme="majorEastAsia" w:hAnsiTheme="majorHAnsi" w:cstheme="majorBidi"/>
      <w:color w:val="7B3464" w:themeColor="accent1" w:themeShade="BF"/>
      <w:sz w:val="26"/>
      <w:szCs w:val="26"/>
    </w:rPr>
  </w:style>
  <w:style w:type="character" w:styleId="Odwoaniedokomentarza">
    <w:name w:val="annotation reference"/>
    <w:basedOn w:val="Domylnaczcionkaakapitu"/>
    <w:uiPriority w:val="99"/>
    <w:semiHidden/>
    <w:unhideWhenUsed/>
    <w:rsid w:val="00F523B7"/>
    <w:rPr>
      <w:sz w:val="16"/>
      <w:szCs w:val="16"/>
    </w:rPr>
  </w:style>
  <w:style w:type="paragraph" w:styleId="Tekstkomentarza">
    <w:name w:val="annotation text"/>
    <w:basedOn w:val="Normalny"/>
    <w:link w:val="TekstkomentarzaZnak"/>
    <w:uiPriority w:val="99"/>
    <w:unhideWhenUsed/>
    <w:rsid w:val="00F523B7"/>
    <w:rPr>
      <w:sz w:val="20"/>
      <w:szCs w:val="20"/>
    </w:rPr>
  </w:style>
  <w:style w:type="character" w:customStyle="1" w:styleId="TekstkomentarzaZnak">
    <w:name w:val="Tekst komentarza Znak"/>
    <w:basedOn w:val="Domylnaczcionkaakapitu"/>
    <w:link w:val="Tekstkomentarza"/>
    <w:uiPriority w:val="99"/>
    <w:rsid w:val="00F523B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523B7"/>
    <w:rPr>
      <w:b/>
      <w:bCs/>
    </w:rPr>
  </w:style>
  <w:style w:type="character" w:customStyle="1" w:styleId="TematkomentarzaZnak">
    <w:name w:val="Temat komentarza Znak"/>
    <w:basedOn w:val="TekstkomentarzaZnak"/>
    <w:link w:val="Tematkomentarza"/>
    <w:uiPriority w:val="99"/>
    <w:semiHidden/>
    <w:rsid w:val="00F523B7"/>
    <w:rPr>
      <w:rFonts w:ascii="Times New Roman" w:eastAsia="Times New Roman" w:hAnsi="Times New Roman" w:cs="Times New Roman"/>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9539391">
      <w:bodyDiv w:val="1"/>
      <w:marLeft w:val="0"/>
      <w:marRight w:val="0"/>
      <w:marTop w:val="0"/>
      <w:marBottom w:val="0"/>
      <w:divBdr>
        <w:top w:val="none" w:sz="0" w:space="0" w:color="auto"/>
        <w:left w:val="none" w:sz="0" w:space="0" w:color="auto"/>
        <w:bottom w:val="none" w:sz="0" w:space="0" w:color="auto"/>
        <w:right w:val="none" w:sz="0" w:space="0" w:color="auto"/>
      </w:divBdr>
    </w:div>
    <w:div w:id="454755860">
      <w:bodyDiv w:val="1"/>
      <w:marLeft w:val="0"/>
      <w:marRight w:val="0"/>
      <w:marTop w:val="0"/>
      <w:marBottom w:val="0"/>
      <w:divBdr>
        <w:top w:val="none" w:sz="0" w:space="0" w:color="auto"/>
        <w:left w:val="none" w:sz="0" w:space="0" w:color="auto"/>
        <w:bottom w:val="none" w:sz="0" w:space="0" w:color="auto"/>
        <w:right w:val="none" w:sz="0" w:space="0" w:color="auto"/>
      </w:divBdr>
      <w:divsChild>
        <w:div w:id="1610547664">
          <w:marLeft w:val="0"/>
          <w:marRight w:val="0"/>
          <w:marTop w:val="0"/>
          <w:marBottom w:val="0"/>
          <w:divBdr>
            <w:top w:val="none" w:sz="0" w:space="0" w:color="auto"/>
            <w:left w:val="none" w:sz="0" w:space="0" w:color="auto"/>
            <w:bottom w:val="none" w:sz="0" w:space="0" w:color="auto"/>
            <w:right w:val="none" w:sz="0" w:space="0" w:color="auto"/>
          </w:divBdr>
          <w:divsChild>
            <w:div w:id="2002462475">
              <w:marLeft w:val="0"/>
              <w:marRight w:val="0"/>
              <w:marTop w:val="0"/>
              <w:marBottom w:val="0"/>
              <w:divBdr>
                <w:top w:val="none" w:sz="0" w:space="0" w:color="auto"/>
                <w:left w:val="none" w:sz="0" w:space="0" w:color="auto"/>
                <w:bottom w:val="none" w:sz="0" w:space="0" w:color="auto"/>
                <w:right w:val="none" w:sz="0" w:space="0" w:color="auto"/>
              </w:divBdr>
              <w:divsChild>
                <w:div w:id="646394316">
                  <w:marLeft w:val="0"/>
                  <w:marRight w:val="0"/>
                  <w:marTop w:val="0"/>
                  <w:marBottom w:val="0"/>
                  <w:divBdr>
                    <w:top w:val="none" w:sz="0" w:space="0" w:color="auto"/>
                    <w:left w:val="none" w:sz="0" w:space="0" w:color="auto"/>
                    <w:bottom w:val="none" w:sz="0" w:space="0" w:color="auto"/>
                    <w:right w:val="none" w:sz="0" w:space="0" w:color="auto"/>
                  </w:divBdr>
                  <w:divsChild>
                    <w:div w:id="80801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26053">
      <w:bodyDiv w:val="1"/>
      <w:marLeft w:val="0"/>
      <w:marRight w:val="0"/>
      <w:marTop w:val="0"/>
      <w:marBottom w:val="0"/>
      <w:divBdr>
        <w:top w:val="none" w:sz="0" w:space="0" w:color="auto"/>
        <w:left w:val="none" w:sz="0" w:space="0" w:color="auto"/>
        <w:bottom w:val="none" w:sz="0" w:space="0" w:color="auto"/>
        <w:right w:val="none" w:sz="0" w:space="0" w:color="auto"/>
      </w:divBdr>
    </w:div>
    <w:div w:id="527329930">
      <w:bodyDiv w:val="1"/>
      <w:marLeft w:val="0"/>
      <w:marRight w:val="0"/>
      <w:marTop w:val="0"/>
      <w:marBottom w:val="0"/>
      <w:divBdr>
        <w:top w:val="none" w:sz="0" w:space="0" w:color="auto"/>
        <w:left w:val="none" w:sz="0" w:space="0" w:color="auto"/>
        <w:bottom w:val="none" w:sz="0" w:space="0" w:color="auto"/>
        <w:right w:val="none" w:sz="0" w:space="0" w:color="auto"/>
      </w:divBdr>
    </w:div>
    <w:div w:id="1139226519">
      <w:bodyDiv w:val="1"/>
      <w:marLeft w:val="0"/>
      <w:marRight w:val="0"/>
      <w:marTop w:val="0"/>
      <w:marBottom w:val="0"/>
      <w:divBdr>
        <w:top w:val="none" w:sz="0" w:space="0" w:color="auto"/>
        <w:left w:val="none" w:sz="0" w:space="0" w:color="auto"/>
        <w:bottom w:val="none" w:sz="0" w:space="0" w:color="auto"/>
        <w:right w:val="none" w:sz="0" w:space="0" w:color="auto"/>
      </w:divBdr>
    </w:div>
    <w:div w:id="1246380826">
      <w:bodyDiv w:val="1"/>
      <w:marLeft w:val="0"/>
      <w:marRight w:val="0"/>
      <w:marTop w:val="0"/>
      <w:marBottom w:val="0"/>
      <w:divBdr>
        <w:top w:val="none" w:sz="0" w:space="0" w:color="auto"/>
        <w:left w:val="none" w:sz="0" w:space="0" w:color="auto"/>
        <w:bottom w:val="none" w:sz="0" w:space="0" w:color="auto"/>
        <w:right w:val="none" w:sz="0" w:space="0" w:color="auto"/>
      </w:divBdr>
    </w:div>
    <w:div w:id="1385062210">
      <w:bodyDiv w:val="1"/>
      <w:marLeft w:val="0"/>
      <w:marRight w:val="0"/>
      <w:marTop w:val="0"/>
      <w:marBottom w:val="0"/>
      <w:divBdr>
        <w:top w:val="none" w:sz="0" w:space="0" w:color="auto"/>
        <w:left w:val="none" w:sz="0" w:space="0" w:color="auto"/>
        <w:bottom w:val="none" w:sz="0" w:space="0" w:color="auto"/>
        <w:right w:val="none" w:sz="0" w:space="0" w:color="auto"/>
      </w:divBdr>
    </w:div>
    <w:div w:id="1472135828">
      <w:bodyDiv w:val="1"/>
      <w:marLeft w:val="0"/>
      <w:marRight w:val="0"/>
      <w:marTop w:val="0"/>
      <w:marBottom w:val="0"/>
      <w:divBdr>
        <w:top w:val="none" w:sz="0" w:space="0" w:color="auto"/>
        <w:left w:val="none" w:sz="0" w:space="0" w:color="auto"/>
        <w:bottom w:val="none" w:sz="0" w:space="0" w:color="auto"/>
        <w:right w:val="none" w:sz="0" w:space="0" w:color="auto"/>
      </w:divBdr>
      <w:divsChild>
        <w:div w:id="1792554754">
          <w:marLeft w:val="0"/>
          <w:marRight w:val="0"/>
          <w:marTop w:val="0"/>
          <w:marBottom w:val="0"/>
          <w:divBdr>
            <w:top w:val="none" w:sz="0" w:space="0" w:color="auto"/>
            <w:left w:val="none" w:sz="0" w:space="0" w:color="auto"/>
            <w:bottom w:val="none" w:sz="0" w:space="0" w:color="auto"/>
            <w:right w:val="none" w:sz="0" w:space="0" w:color="auto"/>
          </w:divBdr>
          <w:divsChild>
            <w:div w:id="441808250">
              <w:marLeft w:val="0"/>
              <w:marRight w:val="0"/>
              <w:marTop w:val="0"/>
              <w:marBottom w:val="0"/>
              <w:divBdr>
                <w:top w:val="none" w:sz="0" w:space="0" w:color="auto"/>
                <w:left w:val="none" w:sz="0" w:space="0" w:color="auto"/>
                <w:bottom w:val="none" w:sz="0" w:space="0" w:color="auto"/>
                <w:right w:val="none" w:sz="0" w:space="0" w:color="auto"/>
              </w:divBdr>
              <w:divsChild>
                <w:div w:id="440952006">
                  <w:marLeft w:val="0"/>
                  <w:marRight w:val="0"/>
                  <w:marTop w:val="0"/>
                  <w:marBottom w:val="0"/>
                  <w:divBdr>
                    <w:top w:val="none" w:sz="0" w:space="0" w:color="auto"/>
                    <w:left w:val="none" w:sz="0" w:space="0" w:color="auto"/>
                    <w:bottom w:val="none" w:sz="0" w:space="0" w:color="auto"/>
                    <w:right w:val="none" w:sz="0" w:space="0" w:color="auto"/>
                  </w:divBdr>
                  <w:divsChild>
                    <w:div w:id="105212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979592">
      <w:bodyDiv w:val="1"/>
      <w:marLeft w:val="0"/>
      <w:marRight w:val="0"/>
      <w:marTop w:val="0"/>
      <w:marBottom w:val="0"/>
      <w:divBdr>
        <w:top w:val="none" w:sz="0" w:space="0" w:color="auto"/>
        <w:left w:val="none" w:sz="0" w:space="0" w:color="auto"/>
        <w:bottom w:val="none" w:sz="0" w:space="0" w:color="auto"/>
        <w:right w:val="none" w:sz="0" w:space="0" w:color="auto"/>
      </w:divBdr>
    </w:div>
    <w:div w:id="1605459097">
      <w:bodyDiv w:val="1"/>
      <w:marLeft w:val="0"/>
      <w:marRight w:val="0"/>
      <w:marTop w:val="0"/>
      <w:marBottom w:val="0"/>
      <w:divBdr>
        <w:top w:val="none" w:sz="0" w:space="0" w:color="auto"/>
        <w:left w:val="none" w:sz="0" w:space="0" w:color="auto"/>
        <w:bottom w:val="none" w:sz="0" w:space="0" w:color="auto"/>
        <w:right w:val="none" w:sz="0" w:space="0" w:color="auto"/>
      </w:divBdr>
    </w:div>
    <w:div w:id="1711226737">
      <w:bodyDiv w:val="1"/>
      <w:marLeft w:val="0"/>
      <w:marRight w:val="0"/>
      <w:marTop w:val="0"/>
      <w:marBottom w:val="0"/>
      <w:divBdr>
        <w:top w:val="none" w:sz="0" w:space="0" w:color="auto"/>
        <w:left w:val="none" w:sz="0" w:space="0" w:color="auto"/>
        <w:bottom w:val="none" w:sz="0" w:space="0" w:color="auto"/>
        <w:right w:val="none" w:sz="0" w:space="0" w:color="auto"/>
      </w:divBdr>
    </w:div>
    <w:div w:id="1816951365">
      <w:bodyDiv w:val="1"/>
      <w:marLeft w:val="0"/>
      <w:marRight w:val="0"/>
      <w:marTop w:val="0"/>
      <w:marBottom w:val="0"/>
      <w:divBdr>
        <w:top w:val="none" w:sz="0" w:space="0" w:color="auto"/>
        <w:left w:val="none" w:sz="0" w:space="0" w:color="auto"/>
        <w:bottom w:val="none" w:sz="0" w:space="0" w:color="auto"/>
        <w:right w:val="none" w:sz="0" w:space="0" w:color="auto"/>
      </w:divBdr>
    </w:div>
    <w:div w:id="202428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tyniec@bepr.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Grupa progres">
      <a:dk1>
        <a:srgbClr val="1F1B41"/>
      </a:dk1>
      <a:lt1>
        <a:sysClr val="window" lastClr="FFFFFF"/>
      </a:lt1>
      <a:dk2>
        <a:srgbClr val="1F1B2C"/>
      </a:dk2>
      <a:lt2>
        <a:srgbClr val="E7E6E6"/>
      </a:lt2>
      <a:accent1>
        <a:srgbClr val="A54686"/>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B0C38-FFAB-41B1-888D-4055A882F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1259</Words>
  <Characters>7559</Characters>
  <Application>Microsoft Office Word</Application>
  <DocSecurity>0</DocSecurity>
  <Lines>62</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Kamila Tyniec</cp:lastModifiedBy>
  <cp:revision>7</cp:revision>
  <cp:lastPrinted>2026-07-17T08:13:00Z</cp:lastPrinted>
  <dcterms:created xsi:type="dcterms:W3CDTF">2026-10-26T13:33:00Z</dcterms:created>
  <dcterms:modified xsi:type="dcterms:W3CDTF">2026-10-27T15:22:00Z</dcterms:modified>
</cp:coreProperties>
</file>