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D48" w:rsidRPr="00C070FC" w:rsidRDefault="00795C81" w:rsidP="00C070FC">
      <w:pPr>
        <w:jc w:val="right"/>
        <w:rPr>
          <w:rFonts w:ascii="Verdana" w:hAnsi="Verdana"/>
          <w:sz w:val="20"/>
          <w:szCs w:val="22"/>
        </w:rPr>
      </w:pPr>
      <w:r>
        <w:rPr>
          <w:rFonts w:ascii="Verdana" w:hAnsi="Verdana"/>
          <w:sz w:val="20"/>
          <w:szCs w:val="22"/>
        </w:rPr>
        <w:t>Wrocław, 2.11</w:t>
      </w:r>
      <w:r w:rsidR="001B0D48">
        <w:rPr>
          <w:rFonts w:ascii="Verdana" w:hAnsi="Verdana"/>
          <w:sz w:val="20"/>
          <w:szCs w:val="22"/>
        </w:rPr>
        <w:t>.2011 r.</w:t>
      </w:r>
      <w:r w:rsidR="007D493D">
        <w:rPr>
          <w:rFonts w:ascii="Verdana" w:hAnsi="Verdana"/>
          <w:sz w:val="20"/>
          <w:szCs w:val="22"/>
        </w:rPr>
        <w:br/>
      </w:r>
    </w:p>
    <w:p w:rsidR="00EC006E" w:rsidRDefault="00795C81" w:rsidP="00EC006E">
      <w:pPr>
        <w:pStyle w:val="NormalnyWeb"/>
        <w:jc w:val="center"/>
        <w:rPr>
          <w:rFonts w:ascii="Verdana" w:hAnsi="Verdana"/>
          <w:b/>
          <w:color w:val="365F91"/>
          <w:sz w:val="26"/>
          <w:szCs w:val="26"/>
        </w:rPr>
      </w:pPr>
      <w:r w:rsidRPr="00795C81">
        <w:rPr>
          <w:rFonts w:ascii="Verdana" w:hAnsi="Verdana"/>
          <w:b/>
          <w:color w:val="365F91"/>
          <w:sz w:val="26"/>
          <w:szCs w:val="26"/>
        </w:rPr>
        <w:t>Gdzie diabeł nie może, tam konsjerża pośle</w:t>
      </w:r>
      <w:r w:rsidR="00EC006E">
        <w:rPr>
          <w:rFonts w:ascii="Verdana" w:hAnsi="Verdana"/>
          <w:b/>
          <w:color w:val="365F91"/>
          <w:sz w:val="26"/>
          <w:szCs w:val="26"/>
        </w:rPr>
        <w:br/>
      </w:r>
    </w:p>
    <w:p w:rsidR="00795C81" w:rsidRPr="00795C81" w:rsidRDefault="00795C81" w:rsidP="00795C81">
      <w:pPr>
        <w:pStyle w:val="NormalnyWeb"/>
        <w:jc w:val="left"/>
        <w:rPr>
          <w:rFonts w:ascii="Verdana" w:hAnsi="Verdana"/>
          <w:sz w:val="20"/>
          <w:szCs w:val="20"/>
        </w:rPr>
      </w:pPr>
      <w:r w:rsidRPr="00795C81">
        <w:rPr>
          <w:rFonts w:ascii="Verdana" w:hAnsi="Verdana"/>
          <w:b/>
          <w:bCs/>
          <w:sz w:val="20"/>
          <w:szCs w:val="20"/>
        </w:rPr>
        <w:t xml:space="preserve">Jeśli masz w banku status cenionego klienta, zapłaciłeś za usługę, a później złożyłeś wyrafinowane zlecenie do wykonania - wiedz, że w tej sprawie pewnie już coś się dzieje. Specjalne zespoły obsługujące klientów serwisu </w:t>
      </w:r>
      <w:proofErr w:type="spellStart"/>
      <w:r w:rsidRPr="00795C81">
        <w:rPr>
          <w:rFonts w:ascii="Verdana" w:hAnsi="Verdana"/>
          <w:b/>
          <w:bCs/>
          <w:sz w:val="20"/>
          <w:szCs w:val="20"/>
        </w:rPr>
        <w:t>concierge</w:t>
      </w:r>
      <w:proofErr w:type="spellEnd"/>
      <w:r w:rsidRPr="00795C81">
        <w:rPr>
          <w:rFonts w:ascii="Verdana" w:hAnsi="Verdana"/>
          <w:b/>
          <w:bCs/>
          <w:sz w:val="20"/>
          <w:szCs w:val="20"/>
        </w:rPr>
        <w:t xml:space="preserve"> dwoją się i troją, by spe</w:t>
      </w:r>
      <w:r>
        <w:rPr>
          <w:rFonts w:ascii="Verdana" w:hAnsi="Verdana"/>
          <w:b/>
          <w:bCs/>
          <w:sz w:val="20"/>
          <w:szCs w:val="20"/>
        </w:rPr>
        <w:t xml:space="preserve">łnić twoje zachcianki </w:t>
      </w:r>
      <w:r w:rsidR="00F71E56">
        <w:rPr>
          <w:rFonts w:ascii="Verdana" w:hAnsi="Verdana"/>
          <w:b/>
          <w:bCs/>
          <w:sz w:val="20"/>
          <w:szCs w:val="20"/>
        </w:rPr>
        <w:t>–</w:t>
      </w:r>
      <w:r w:rsidR="00EC006E">
        <w:rPr>
          <w:rFonts w:ascii="Verdana" w:hAnsi="Verdana"/>
          <w:b/>
          <w:bCs/>
          <w:sz w:val="20"/>
          <w:szCs w:val="20"/>
        </w:rPr>
        <w:t xml:space="preserve"> </w:t>
      </w:r>
      <w:r w:rsidR="00F71E56">
        <w:rPr>
          <w:rFonts w:ascii="Verdana" w:hAnsi="Verdana"/>
          <w:b/>
          <w:bCs/>
          <w:i/>
          <w:sz w:val="20"/>
          <w:szCs w:val="20"/>
        </w:rPr>
        <w:t>pisze</w:t>
      </w:r>
      <w:r w:rsidR="00F71E56">
        <w:rPr>
          <w:rFonts w:ascii="Verdana" w:hAnsi="Verdana"/>
          <w:b/>
          <w:bCs/>
          <w:sz w:val="20"/>
          <w:szCs w:val="20"/>
        </w:rPr>
        <w:t xml:space="preserve"> </w:t>
      </w:r>
      <w:r>
        <w:rPr>
          <w:rFonts w:ascii="Verdana" w:hAnsi="Verdana"/>
          <w:b/>
          <w:bCs/>
          <w:i/>
          <w:sz w:val="20"/>
          <w:szCs w:val="20"/>
        </w:rPr>
        <w:t>analityk</w:t>
      </w:r>
      <w:r w:rsidR="00EC006E">
        <w:rPr>
          <w:rFonts w:ascii="Verdana" w:hAnsi="Verdana"/>
          <w:b/>
          <w:bCs/>
          <w:i/>
          <w:sz w:val="20"/>
          <w:szCs w:val="20"/>
        </w:rPr>
        <w:t xml:space="preserve"> portalu </w:t>
      </w:r>
      <w:r w:rsidR="0025669E" w:rsidRPr="007D493D">
        <w:rPr>
          <w:rFonts w:ascii="Verdana" w:hAnsi="Verdana"/>
          <w:b/>
          <w:bCs/>
          <w:i/>
          <w:sz w:val="20"/>
          <w:szCs w:val="20"/>
        </w:rPr>
        <w:t xml:space="preserve">Bankier.pl, </w:t>
      </w:r>
      <w:r>
        <w:rPr>
          <w:rFonts w:ascii="Verdana" w:hAnsi="Verdana"/>
          <w:b/>
          <w:bCs/>
          <w:i/>
          <w:sz w:val="20"/>
          <w:szCs w:val="20"/>
        </w:rPr>
        <w:t xml:space="preserve">Malwina </w:t>
      </w:r>
      <w:proofErr w:type="spellStart"/>
      <w:r>
        <w:rPr>
          <w:rFonts w:ascii="Verdana" w:hAnsi="Verdana"/>
          <w:b/>
          <w:bCs/>
          <w:i/>
          <w:sz w:val="20"/>
          <w:szCs w:val="20"/>
        </w:rPr>
        <w:t>Wrotniak</w:t>
      </w:r>
      <w:proofErr w:type="spellEnd"/>
      <w:r w:rsidR="0025669E" w:rsidRPr="007D493D">
        <w:rPr>
          <w:rFonts w:ascii="Verdana" w:hAnsi="Verdana"/>
          <w:b/>
          <w:bCs/>
          <w:i/>
          <w:sz w:val="20"/>
          <w:szCs w:val="20"/>
        </w:rPr>
        <w:t>.</w:t>
      </w:r>
      <w:r w:rsidR="0025669E" w:rsidRPr="007D493D">
        <w:rPr>
          <w:rFonts w:ascii="Verdana" w:hAnsi="Verdana"/>
          <w:b/>
          <w:bCs/>
          <w:sz w:val="20"/>
          <w:szCs w:val="20"/>
        </w:rPr>
        <w:br/>
      </w:r>
      <w:r w:rsidR="0025669E" w:rsidRPr="007D493D">
        <w:rPr>
          <w:rFonts w:ascii="Verdana" w:hAnsi="Verdana"/>
          <w:b/>
          <w:bCs/>
          <w:sz w:val="20"/>
          <w:szCs w:val="20"/>
        </w:rPr>
        <w:br/>
      </w:r>
      <w:r w:rsidRPr="00795C81">
        <w:rPr>
          <w:rFonts w:ascii="Verdana" w:hAnsi="Verdana"/>
          <w:sz w:val="20"/>
          <w:szCs w:val="20"/>
        </w:rPr>
        <w:t>Po ponad 20 latach wolnego rynku nastały w końcu czasy, kiedy wystarczy zapłacić, żeby wymagać. Co prawda oferta bycia na każde żądanie klienta wciąż jest limitowana, nie ma jednak (albo prawie nie ma) limitu możliwości, gdy pada hasło ”zlecenie do wykonania”.</w:t>
      </w:r>
    </w:p>
    <w:p w:rsidR="00795C81" w:rsidRPr="00795C81" w:rsidRDefault="00795C81" w:rsidP="00795C81">
      <w:pPr>
        <w:pStyle w:val="NormalnyWeb"/>
        <w:jc w:val="left"/>
        <w:rPr>
          <w:rFonts w:ascii="Verdana" w:hAnsi="Verdana"/>
          <w:sz w:val="20"/>
          <w:szCs w:val="20"/>
        </w:rPr>
      </w:pPr>
      <w:r w:rsidRPr="00795C81">
        <w:rPr>
          <w:rFonts w:ascii="Verdana" w:hAnsi="Verdana"/>
          <w:sz w:val="20"/>
          <w:szCs w:val="20"/>
        </w:rPr>
        <w:t xml:space="preserve">Coraz częściej zakup karty kredytowej, konta lub polisy kończy się nabyciem pakietu pomocowego modnie zwanego </w:t>
      </w:r>
      <w:proofErr w:type="spellStart"/>
      <w:r w:rsidRPr="00795C81">
        <w:rPr>
          <w:rFonts w:ascii="Verdana" w:hAnsi="Verdana"/>
          <w:sz w:val="20"/>
          <w:szCs w:val="20"/>
        </w:rPr>
        <w:t>concierge</w:t>
      </w:r>
      <w:proofErr w:type="spellEnd"/>
      <w:r w:rsidRPr="00795C81">
        <w:rPr>
          <w:rFonts w:ascii="Verdana" w:hAnsi="Verdana"/>
          <w:sz w:val="20"/>
          <w:szCs w:val="20"/>
        </w:rPr>
        <w:t xml:space="preserve">. Usługa prywatnego asystenta kusi klientów możliwością skorzystania z szybkiej pomocy fachowców - bez względu na </w:t>
      </w:r>
      <w:r>
        <w:rPr>
          <w:rFonts w:ascii="Verdana" w:hAnsi="Verdana"/>
          <w:sz w:val="20"/>
          <w:szCs w:val="20"/>
        </w:rPr>
        <w:t>charakter zlecenia i porę dnia.</w:t>
      </w:r>
    </w:p>
    <w:p w:rsidR="00F71E56" w:rsidRPr="00EC006E" w:rsidRDefault="00795C81" w:rsidP="00795C81">
      <w:pPr>
        <w:pStyle w:val="NormalnyWeb"/>
        <w:jc w:val="left"/>
        <w:rPr>
          <w:rFonts w:ascii="Verdana" w:hAnsi="Verdana"/>
          <w:sz w:val="20"/>
          <w:szCs w:val="20"/>
        </w:rPr>
      </w:pPr>
      <w:r w:rsidRPr="00795C81">
        <w:rPr>
          <w:rFonts w:ascii="Verdana" w:hAnsi="Verdana"/>
          <w:sz w:val="20"/>
          <w:szCs w:val="20"/>
        </w:rPr>
        <w:t xml:space="preserve">Choć beneficjentami usług </w:t>
      </w:r>
      <w:proofErr w:type="spellStart"/>
      <w:r w:rsidRPr="00795C81">
        <w:rPr>
          <w:rFonts w:ascii="Verdana" w:hAnsi="Verdana"/>
          <w:sz w:val="20"/>
          <w:szCs w:val="20"/>
        </w:rPr>
        <w:t>concierge</w:t>
      </w:r>
      <w:proofErr w:type="spellEnd"/>
      <w:r w:rsidRPr="00795C81">
        <w:rPr>
          <w:rFonts w:ascii="Verdana" w:hAnsi="Verdana"/>
          <w:sz w:val="20"/>
          <w:szCs w:val="20"/>
        </w:rPr>
        <w:t xml:space="preserve"> są klienci banków czy ubezpieczycieli, realizacją zadań zajmują się podmioty z innej branży. Za największymi i najsprawniejszymi z nich stoją międzynarodowe firmy </w:t>
      </w:r>
      <w:proofErr w:type="spellStart"/>
      <w:r w:rsidRPr="00795C81">
        <w:rPr>
          <w:rFonts w:ascii="Verdana" w:hAnsi="Verdana"/>
          <w:sz w:val="20"/>
          <w:szCs w:val="20"/>
        </w:rPr>
        <w:t>assistance</w:t>
      </w:r>
      <w:proofErr w:type="spellEnd"/>
      <w:r w:rsidRPr="00795C81">
        <w:rPr>
          <w:rFonts w:ascii="Verdana" w:hAnsi="Verdana"/>
          <w:sz w:val="20"/>
          <w:szCs w:val="20"/>
        </w:rPr>
        <w:t>, zatrudniające tysiące pracowników na kilku kontynentach. Wyobraźnia klientów nie zna przecież granic.</w:t>
      </w:r>
      <w:r>
        <w:rPr>
          <w:rFonts w:ascii="Verdana" w:hAnsi="Verdana"/>
          <w:sz w:val="20"/>
          <w:szCs w:val="20"/>
        </w:rPr>
        <w:br/>
      </w:r>
      <w:r>
        <w:rPr>
          <w:rFonts w:ascii="Verdana" w:hAnsi="Verdana"/>
          <w:sz w:val="20"/>
          <w:szCs w:val="20"/>
        </w:rPr>
        <w:br/>
      </w:r>
    </w:p>
    <w:p w:rsidR="001A0776" w:rsidRDefault="001B0D48" w:rsidP="007D493D">
      <w:pPr>
        <w:pStyle w:val="NormalnyWeb"/>
        <w:spacing w:before="0" w:after="0"/>
        <w:jc w:val="left"/>
        <w:rPr>
          <w:rFonts w:ascii="Verdana" w:hAnsi="Verdana"/>
          <w:sz w:val="18"/>
          <w:szCs w:val="18"/>
        </w:rPr>
      </w:pPr>
      <w:r w:rsidRPr="0025669E">
        <w:rPr>
          <w:rFonts w:ascii="Verdana" w:hAnsi="Verdana"/>
          <w:b/>
          <w:bCs/>
          <w:sz w:val="18"/>
          <w:szCs w:val="18"/>
        </w:rPr>
        <w:t>Więcej informacji</w:t>
      </w:r>
      <w:r w:rsidR="0025669E">
        <w:rPr>
          <w:rFonts w:ascii="Verdana" w:hAnsi="Verdana"/>
          <w:b/>
          <w:bCs/>
          <w:sz w:val="18"/>
          <w:szCs w:val="18"/>
        </w:rPr>
        <w:t xml:space="preserve"> w </w:t>
      </w:r>
      <w:r w:rsidR="00EC006E">
        <w:rPr>
          <w:rFonts w:ascii="Verdana" w:hAnsi="Verdana"/>
          <w:b/>
          <w:bCs/>
          <w:sz w:val="18"/>
          <w:szCs w:val="18"/>
        </w:rPr>
        <w:t>artykule  przygotowanym</w:t>
      </w:r>
      <w:r w:rsidR="0025669E">
        <w:rPr>
          <w:rFonts w:ascii="Verdana" w:hAnsi="Verdana"/>
          <w:b/>
          <w:bCs/>
          <w:sz w:val="18"/>
          <w:szCs w:val="18"/>
        </w:rPr>
        <w:t xml:space="preserve"> przez</w:t>
      </w:r>
      <w:r w:rsidR="007D493D">
        <w:rPr>
          <w:rFonts w:ascii="Verdana" w:hAnsi="Verdana"/>
          <w:b/>
          <w:bCs/>
          <w:sz w:val="18"/>
          <w:szCs w:val="18"/>
        </w:rPr>
        <w:t xml:space="preserve"> </w:t>
      </w:r>
      <w:r w:rsidR="00795C81">
        <w:rPr>
          <w:rFonts w:ascii="Verdana" w:hAnsi="Verdana"/>
          <w:b/>
          <w:bCs/>
          <w:sz w:val="18"/>
          <w:szCs w:val="18"/>
        </w:rPr>
        <w:t>analityka</w:t>
      </w:r>
      <w:r w:rsidR="007D493D">
        <w:rPr>
          <w:rFonts w:ascii="Verdana" w:hAnsi="Verdana"/>
          <w:b/>
          <w:bCs/>
          <w:sz w:val="18"/>
          <w:szCs w:val="18"/>
        </w:rPr>
        <w:t xml:space="preserve"> </w:t>
      </w:r>
      <w:r w:rsidR="00EC006E">
        <w:rPr>
          <w:rFonts w:ascii="Verdana" w:hAnsi="Verdana"/>
          <w:b/>
          <w:bCs/>
          <w:sz w:val="18"/>
          <w:szCs w:val="18"/>
        </w:rPr>
        <w:t xml:space="preserve">portalu </w:t>
      </w:r>
      <w:r w:rsidR="007D493D">
        <w:rPr>
          <w:rFonts w:ascii="Verdana" w:hAnsi="Verdana"/>
          <w:b/>
          <w:bCs/>
          <w:sz w:val="18"/>
          <w:szCs w:val="18"/>
        </w:rPr>
        <w:t xml:space="preserve">Bankier.pl, </w:t>
      </w:r>
      <w:r w:rsidR="00795C81">
        <w:rPr>
          <w:rFonts w:ascii="Verdana" w:hAnsi="Verdana"/>
          <w:b/>
          <w:bCs/>
          <w:sz w:val="18"/>
          <w:szCs w:val="18"/>
        </w:rPr>
        <w:t xml:space="preserve">Malwinę </w:t>
      </w:r>
      <w:proofErr w:type="spellStart"/>
      <w:r w:rsidR="00795C81">
        <w:rPr>
          <w:rFonts w:ascii="Verdana" w:hAnsi="Verdana"/>
          <w:b/>
          <w:bCs/>
          <w:sz w:val="18"/>
          <w:szCs w:val="18"/>
        </w:rPr>
        <w:t>Wrotniak</w:t>
      </w:r>
      <w:proofErr w:type="spellEnd"/>
      <w:r w:rsidR="007D493D">
        <w:rPr>
          <w:rFonts w:ascii="Verdana" w:hAnsi="Verdana"/>
          <w:b/>
          <w:bCs/>
          <w:sz w:val="18"/>
          <w:szCs w:val="18"/>
        </w:rPr>
        <w:t xml:space="preserve">: </w:t>
      </w:r>
      <w:hyperlink r:id="rId7" w:history="1">
        <w:r w:rsidR="00795C81">
          <w:rPr>
            <w:rStyle w:val="Hipercze"/>
            <w:rFonts w:ascii="Verdana" w:hAnsi="Verdana"/>
            <w:sz w:val="18"/>
            <w:szCs w:val="18"/>
          </w:rPr>
          <w:t>http://www.bankier.pl/wiadomosc/Gdzie-diabel-nie-moze-tam-konsjerza-posle-2427370.html</w:t>
        </w:r>
      </w:hyperlink>
    </w:p>
    <w:p w:rsidR="00F71E56" w:rsidRDefault="00F71E56" w:rsidP="007D493D">
      <w:pPr>
        <w:pStyle w:val="NormalnyWeb"/>
        <w:spacing w:before="0" w:after="0"/>
        <w:jc w:val="left"/>
        <w:rPr>
          <w:rFonts w:ascii="Verdana" w:hAnsi="Verdana"/>
          <w:sz w:val="18"/>
          <w:szCs w:val="18"/>
        </w:rPr>
      </w:pPr>
    </w:p>
    <w:p w:rsidR="00F71E56" w:rsidRDefault="00F71E56" w:rsidP="007D493D">
      <w:pPr>
        <w:pStyle w:val="NormalnyWeb"/>
        <w:spacing w:before="0" w:after="0"/>
        <w:jc w:val="left"/>
        <w:rPr>
          <w:rFonts w:ascii="Verdana" w:hAnsi="Verdana"/>
          <w:sz w:val="18"/>
          <w:szCs w:val="18"/>
        </w:rPr>
      </w:pPr>
    </w:p>
    <w:p w:rsidR="00EC006E" w:rsidRDefault="00EC006E" w:rsidP="007D493D">
      <w:pPr>
        <w:pStyle w:val="NormalnyWeb"/>
        <w:spacing w:before="0" w:after="0"/>
        <w:jc w:val="left"/>
        <w:rPr>
          <w:rFonts w:ascii="Verdana" w:hAnsi="Verdana"/>
          <w:sz w:val="18"/>
          <w:szCs w:val="18"/>
        </w:rPr>
      </w:pPr>
    </w:p>
    <w:p w:rsidR="001B0D48" w:rsidRPr="0025669E" w:rsidRDefault="00AD4353" w:rsidP="006213C9">
      <w:pPr>
        <w:pBdr>
          <w:bottom w:val="single" w:sz="4" w:space="1" w:color="000000"/>
        </w:pBdr>
        <w:jc w:val="left"/>
        <w:rPr>
          <w:rFonts w:ascii="Verdana" w:hAnsi="Verdana" w:cs="Arial"/>
          <w:b/>
          <w:bCs/>
          <w:sz w:val="14"/>
          <w:szCs w:val="14"/>
        </w:rPr>
      </w:pPr>
      <w:r w:rsidRPr="0025669E">
        <w:rPr>
          <w:rFonts w:ascii="Verdana" w:hAnsi="Verdana"/>
          <w:i/>
          <w:sz w:val="14"/>
          <w:szCs w:val="14"/>
        </w:rPr>
        <w:t>Redakcja Serwisów Bankier.pl należąca do Grupa Allegro Sp. z o.o. zezwala na powielanie i rozpowszechnianie powyższego fragmentu utworu w całości, w dowolnych mediach na wszystkich polach eksploatacji. Pełna wersja utworu, dostępna na stronie</w:t>
      </w:r>
      <w:r w:rsidR="006213C9">
        <w:rPr>
          <w:rFonts w:ascii="Verdana" w:hAnsi="Verdana"/>
          <w:i/>
          <w:sz w:val="14"/>
          <w:szCs w:val="14"/>
        </w:rPr>
        <w:t xml:space="preserve">: </w:t>
      </w:r>
      <w:hyperlink r:id="rId8" w:history="1">
        <w:r w:rsidR="00795C81">
          <w:rPr>
            <w:rStyle w:val="Hipercze"/>
            <w:rFonts w:ascii="Verdana" w:hAnsi="Verdana"/>
            <w:i/>
            <w:sz w:val="14"/>
            <w:szCs w:val="14"/>
          </w:rPr>
          <w:t>http://www.bankier.pl/wiadomosc/Gdzie-diabel-nie-moze-tam-konsjerza-posle-2427370.html</w:t>
        </w:r>
      </w:hyperlink>
      <w:r w:rsidRPr="0025669E">
        <w:rPr>
          <w:rFonts w:ascii="Verdana" w:hAnsi="Verdana"/>
          <w:i/>
          <w:sz w:val="14"/>
          <w:szCs w:val="14"/>
        </w:rPr>
        <w:t xml:space="preserve">, może być bezpłatnie powielana i rozpowszechniana w całości lub w części wyłącznie w prasie drukowanej, w tytułach zarejestrowanych i kontrolowanych w Związku Kontroli Dystrybucji Prasy, pod warunkiem spełnienia wymogów wynikających z ustawy o prawie autorskim i prawach pokrewnych (Dz. U. 1994r. </w:t>
      </w:r>
      <w:proofErr w:type="spellStart"/>
      <w:r w:rsidRPr="0025669E">
        <w:rPr>
          <w:rFonts w:ascii="Verdana" w:hAnsi="Verdana"/>
          <w:i/>
          <w:sz w:val="14"/>
          <w:szCs w:val="14"/>
        </w:rPr>
        <w:t>Nr</w:t>
      </w:r>
      <w:proofErr w:type="spellEnd"/>
      <w:r w:rsidRPr="0025669E">
        <w:rPr>
          <w:rFonts w:ascii="Verdana" w:hAnsi="Verdana"/>
          <w:i/>
          <w:sz w:val="14"/>
          <w:szCs w:val="14"/>
        </w:rPr>
        <w:t xml:space="preserve">. 24 poz. 83 z </w:t>
      </w:r>
      <w:proofErr w:type="spellStart"/>
      <w:r w:rsidRPr="0025669E">
        <w:rPr>
          <w:rFonts w:ascii="Verdana" w:hAnsi="Verdana"/>
          <w:i/>
          <w:sz w:val="14"/>
          <w:szCs w:val="14"/>
        </w:rPr>
        <w:t>późn</w:t>
      </w:r>
      <w:proofErr w:type="spellEnd"/>
      <w:r w:rsidRPr="0025669E">
        <w:rPr>
          <w:rFonts w:ascii="Verdana" w:hAnsi="Verdana"/>
          <w:i/>
          <w:sz w:val="14"/>
          <w:szCs w:val="14"/>
        </w:rPr>
        <w:t>. zm.), w szczególności pod warunkiem podania autora i źródła  pochodzenia utworu.</w:t>
      </w:r>
    </w:p>
    <w:p w:rsidR="001B0D48" w:rsidRDefault="001B0D48" w:rsidP="001A0776">
      <w:pPr>
        <w:jc w:val="left"/>
        <w:rPr>
          <w:rFonts w:ascii="Verdana" w:hAnsi="Verdana" w:cs="Arial"/>
          <w:b/>
          <w:bCs/>
          <w:sz w:val="18"/>
          <w:szCs w:val="18"/>
        </w:rPr>
      </w:pPr>
      <w:r>
        <w:rPr>
          <w:rFonts w:ascii="Verdana" w:hAnsi="Verdana" w:cs="Arial"/>
          <w:b/>
          <w:bCs/>
          <w:sz w:val="18"/>
          <w:szCs w:val="18"/>
        </w:rPr>
        <w:t>Kontakt dla mediów:</w:t>
      </w:r>
    </w:p>
    <w:p w:rsidR="00EC006E" w:rsidRPr="00EC006E" w:rsidRDefault="00EC006E" w:rsidP="00EC006E">
      <w:pPr>
        <w:suppressAutoHyphens w:val="0"/>
        <w:spacing w:before="0" w:after="0"/>
        <w:ind w:left="2124"/>
        <w:jc w:val="left"/>
        <w:rPr>
          <w:rFonts w:ascii="Verdana" w:hAnsi="Verdana"/>
          <w:sz w:val="18"/>
          <w:lang w:eastAsia="pl-PL"/>
        </w:rPr>
      </w:pPr>
      <w:r w:rsidRPr="00EC006E">
        <w:rPr>
          <w:rFonts w:ascii="Verdana" w:hAnsi="Verdana"/>
          <w:b/>
          <w:bCs/>
          <w:sz w:val="18"/>
          <w:lang w:eastAsia="pl-PL"/>
        </w:rPr>
        <w:lastRenderedPageBreak/>
        <w:t xml:space="preserve">Malwina </w:t>
      </w:r>
      <w:proofErr w:type="spellStart"/>
      <w:r w:rsidRPr="00EC006E">
        <w:rPr>
          <w:rFonts w:ascii="Verdana" w:hAnsi="Verdana"/>
          <w:b/>
          <w:bCs/>
          <w:sz w:val="18"/>
          <w:lang w:eastAsia="pl-PL"/>
        </w:rPr>
        <w:t>Wrotniak</w:t>
      </w:r>
      <w:proofErr w:type="spellEnd"/>
      <w:r w:rsidRPr="00EC006E">
        <w:rPr>
          <w:rFonts w:ascii="Verdana" w:hAnsi="Verdana"/>
          <w:sz w:val="18"/>
          <w:lang w:eastAsia="pl-PL"/>
        </w:rPr>
        <w:br/>
        <w:t xml:space="preserve">Analityk Bankier.pl </w:t>
      </w:r>
      <w:r w:rsidRPr="00EC006E">
        <w:rPr>
          <w:rFonts w:ascii="Verdana" w:hAnsi="Verdana"/>
          <w:sz w:val="18"/>
          <w:lang w:eastAsia="pl-PL"/>
        </w:rPr>
        <w:br/>
      </w:r>
      <w:hyperlink r:id="rId9" w:tgtFrame="_blank" w:history="1">
        <w:r w:rsidRPr="00EC006E">
          <w:rPr>
            <w:rFonts w:ascii="Verdana" w:hAnsi="Verdana"/>
            <w:color w:val="0000FF"/>
            <w:sz w:val="18"/>
            <w:u w:val="single"/>
            <w:lang w:eastAsia="pl-PL"/>
          </w:rPr>
          <w:t>m.wrotniak@bankier.pl</w:t>
        </w:r>
      </w:hyperlink>
      <w:r w:rsidRPr="00EC006E">
        <w:rPr>
          <w:rFonts w:ascii="Verdana" w:hAnsi="Verdana"/>
          <w:sz w:val="18"/>
          <w:lang w:eastAsia="pl-PL"/>
        </w:rPr>
        <w:br/>
        <w:t xml:space="preserve">Redakcja serwisów Bankier.pl </w:t>
      </w:r>
    </w:p>
    <w:p w:rsidR="00EC006E" w:rsidRPr="00EC006E" w:rsidRDefault="00EC006E" w:rsidP="00EC006E">
      <w:pPr>
        <w:suppressAutoHyphens w:val="0"/>
        <w:spacing w:before="0" w:after="0"/>
        <w:ind w:left="2124"/>
        <w:jc w:val="left"/>
        <w:rPr>
          <w:rFonts w:ascii="Verdana" w:hAnsi="Verdana"/>
          <w:sz w:val="18"/>
          <w:lang w:eastAsia="pl-PL"/>
        </w:rPr>
      </w:pPr>
      <w:r w:rsidRPr="00EC006E">
        <w:rPr>
          <w:rFonts w:ascii="Verdana" w:hAnsi="Verdana"/>
          <w:sz w:val="18"/>
          <w:lang w:eastAsia="pl-PL"/>
        </w:rPr>
        <w:t>T. Kościuszki 29, 50-011 Wrocław</w:t>
      </w:r>
      <w:r w:rsidRPr="00EC006E">
        <w:rPr>
          <w:rFonts w:ascii="Verdana" w:hAnsi="Verdana"/>
          <w:sz w:val="18"/>
          <w:lang w:eastAsia="pl-PL"/>
        </w:rPr>
        <w:br/>
        <w:t>Tel.: (71) 372-30-52 wew.50</w:t>
      </w:r>
    </w:p>
    <w:p w:rsidR="001A0776" w:rsidRPr="00CA3EAB" w:rsidRDefault="001A0776" w:rsidP="00EC006E">
      <w:pPr>
        <w:keepLines/>
        <w:spacing w:after="0"/>
        <w:ind w:left="1418"/>
        <w:jc w:val="left"/>
        <w:rPr>
          <w:rFonts w:ascii="Verdana" w:hAnsi="Verdana"/>
          <w:sz w:val="18"/>
          <w:lang w:eastAsia="pl-PL"/>
        </w:rPr>
      </w:pPr>
    </w:p>
    <w:sectPr w:rsidR="001A0776" w:rsidRPr="00CA3EAB" w:rsidSect="000B2210">
      <w:headerReference w:type="default" r:id="rId10"/>
      <w:footerReference w:type="default" r:id="rId11"/>
      <w:footnotePr>
        <w:pos w:val="beneathText"/>
      </w:footnotePr>
      <w:pgSz w:w="11905" w:h="16837"/>
      <w:pgMar w:top="1797" w:right="1466" w:bottom="1258" w:left="1417" w:header="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6773" w:rsidRDefault="00236773">
      <w:r>
        <w:separator/>
      </w:r>
    </w:p>
  </w:endnote>
  <w:endnote w:type="continuationSeparator" w:id="0">
    <w:p w:rsidR="00236773" w:rsidRDefault="002367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EE"/>
    <w:family w:val="modern"/>
    <w:pitch w:val="fixed"/>
    <w:sig w:usb0="E10002FF" w:usb1="4000FCFF" w:usb2="00000009"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0D48" w:rsidRDefault="001B0D48">
    <w:pPr>
      <w:pStyle w:val="Stopka"/>
      <w:tabs>
        <w:tab w:val="clear" w:pos="9072"/>
        <w:tab w:val="left" w:pos="720"/>
        <w:tab w:val="right" w:pos="9360"/>
      </w:tabs>
      <w:ind w:left="-180"/>
      <w:rPr>
        <w:rFonts w:ascii="Tahoma" w:hAnsi="Tahoma" w:cs="Tahoma"/>
        <w:color w:val="000000"/>
        <w:sz w:val="16"/>
      </w:rPr>
    </w:pPr>
    <w:r>
      <w:rPr>
        <w:rFonts w:ascii="Tahoma" w:hAnsi="Tahoma" w:cs="Tahoma"/>
        <w:color w:val="000000"/>
        <w:sz w:val="16"/>
      </w:rPr>
      <w:tab/>
    </w:r>
  </w:p>
  <w:p w:rsidR="001B0D48" w:rsidRDefault="001B0D48" w:rsidP="007D493D">
    <w:pPr>
      <w:pStyle w:val="Stopka"/>
      <w:tabs>
        <w:tab w:val="left" w:pos="720"/>
      </w:tabs>
      <w:rPr>
        <w:rFonts w:ascii="Tahoma" w:hAnsi="Tahoma" w:cs="Tahoma"/>
        <w:color w:val="000000"/>
        <w:sz w:val="16"/>
        <w:szCs w:val="16"/>
      </w:rPr>
    </w:pPr>
    <w:r>
      <w:rPr>
        <w:rFonts w:ascii="Tahoma" w:hAnsi="Tahoma" w:cs="Tahoma"/>
        <w:color w:val="000000"/>
        <w:sz w:val="16"/>
      </w:rPr>
      <w:t>Biuro serwisu Ban</w:t>
    </w:r>
    <w:r w:rsidR="007D493D">
      <w:rPr>
        <w:rFonts w:ascii="Tahoma" w:hAnsi="Tahoma" w:cs="Tahoma"/>
        <w:color w:val="000000"/>
        <w:sz w:val="16"/>
      </w:rPr>
      <w:t>kier.pl    ●    ul. Mokotowska 1  ●    00-640 Warszawa  ●    tel. +48 22 378 99 00</w:t>
    </w:r>
    <w:r>
      <w:rPr>
        <w:rFonts w:ascii="Tahoma" w:hAnsi="Tahoma" w:cs="Tahoma"/>
        <w:color w:val="000000"/>
        <w:sz w:val="16"/>
      </w:rPr>
      <w:t xml:space="preserve">  ●   </w:t>
    </w:r>
    <w:r>
      <w:rPr>
        <w:rFonts w:ascii="Tahoma" w:hAnsi="Tahoma" w:cs="Tahoma"/>
        <w:color w:val="000000"/>
        <w:sz w:val="16"/>
        <w:szCs w:val="16"/>
      </w:rPr>
      <w:t xml:space="preserve">faks +48 22 </w:t>
    </w:r>
    <w:r w:rsidR="007D493D">
      <w:rPr>
        <w:rFonts w:ascii="Tahoma" w:hAnsi="Tahoma" w:cs="Tahoma"/>
        <w:color w:val="000000"/>
        <w:sz w:val="16"/>
      </w:rPr>
      <w:t>378 99 01</w:t>
    </w:r>
  </w:p>
  <w:p w:rsidR="001B0D48" w:rsidRDefault="00F71E56">
    <w:pPr>
      <w:pStyle w:val="Zwykytekst"/>
      <w:rPr>
        <w:rFonts w:ascii="Tahoma" w:hAnsi="Tahoma" w:cs="Tahoma"/>
        <w:sz w:val="16"/>
        <w:szCs w:val="16"/>
      </w:rPr>
    </w:pPr>
    <w:r>
      <w:rPr>
        <w:rFonts w:ascii="Tahoma" w:hAnsi="Tahoma" w:cs="Tahoma"/>
        <w:noProof/>
        <w:color w:val="1F497D"/>
        <w:lang w:eastAsia="pl-PL"/>
      </w:rPr>
      <w:drawing>
        <wp:inline distT="0" distB="0" distL="0" distR="0">
          <wp:extent cx="1028700" cy="238125"/>
          <wp:effectExtent l="1905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028700" cy="238125"/>
                  </a:xfrm>
                  <a:prstGeom prst="rect">
                    <a:avLst/>
                  </a:prstGeom>
                  <a:solidFill>
                    <a:srgbClr val="FFFFFF"/>
                  </a:solidFill>
                  <a:ln w="9525">
                    <a:noFill/>
                    <a:miter lim="800000"/>
                    <a:headEnd/>
                    <a:tailEnd/>
                  </a:ln>
                </pic:spPr>
              </pic:pic>
            </a:graphicData>
          </a:graphic>
        </wp:inline>
      </w:drawing>
    </w:r>
    <w:r w:rsidR="001B0D48">
      <w:rPr>
        <w:rFonts w:ascii="Tahoma" w:hAnsi="Tahoma" w:cs="Tahoma"/>
        <w:sz w:val="16"/>
        <w:szCs w:val="16"/>
      </w:rPr>
      <w:t xml:space="preserve">Grupa Allegro Sp. z o.o. z siedzibą w Poznaniu, 60-324 Poznań, przy ul. Marcelińskiej 90, wpisana do rejestru przedsiębiorców prowadzonego przez Sąd Rejonowy Poznań – Nowe Miasto i Wilda w Poznaniu, VIII Wydział Gospodarczy Krajowego Rejestru Sądowego pod numerem KRS 0000268796, o kapitale zakładowym w wysokości 33.474.500 zł, posiadająca numer identyfikacji podatkowej NIP 527 25 </w:t>
    </w:r>
    <w:proofErr w:type="spellStart"/>
    <w:r w:rsidR="001B0D48">
      <w:rPr>
        <w:rFonts w:ascii="Tahoma" w:hAnsi="Tahoma" w:cs="Tahoma"/>
        <w:sz w:val="16"/>
        <w:szCs w:val="16"/>
      </w:rPr>
      <w:t>25</w:t>
    </w:r>
    <w:proofErr w:type="spellEnd"/>
    <w:r w:rsidR="001B0D48">
      <w:rPr>
        <w:rFonts w:ascii="Tahoma" w:hAnsi="Tahoma" w:cs="Tahoma"/>
        <w:sz w:val="16"/>
        <w:szCs w:val="16"/>
      </w:rPr>
      <w:t xml:space="preserve"> 995, Regon: 140762508.</w:t>
    </w:r>
  </w:p>
  <w:p w:rsidR="001B0D48" w:rsidRDefault="001B0D48">
    <w:pPr>
      <w:pStyle w:val="Stopka"/>
      <w:tabs>
        <w:tab w:val="left" w:pos="720"/>
      </w:tabs>
      <w:ind w:left="360"/>
      <w:rPr>
        <w:rFonts w:ascii="Tahoma" w:hAnsi="Tahoma" w:cs="Tahoma"/>
        <w:color w:val="000000"/>
        <w:sz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6773" w:rsidRDefault="00236773">
      <w:r>
        <w:separator/>
      </w:r>
    </w:p>
  </w:footnote>
  <w:footnote w:type="continuationSeparator" w:id="0">
    <w:p w:rsidR="00236773" w:rsidRDefault="0023677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0D48" w:rsidRDefault="00F71E56">
    <w:pPr>
      <w:pStyle w:val="Nagwek"/>
      <w:tabs>
        <w:tab w:val="clear" w:pos="9072"/>
        <w:tab w:val="right" w:pos="10620"/>
      </w:tabs>
      <w:ind w:left="-1417" w:right="923"/>
    </w:pPr>
    <w:r>
      <w:rPr>
        <w:noProof/>
        <w:sz w:val="20"/>
        <w:lang w:eastAsia="pl-PL"/>
      </w:rPr>
      <w:drawing>
        <wp:inline distT="0" distB="0" distL="0" distR="0">
          <wp:extent cx="7639050" cy="895350"/>
          <wp:effectExtent l="1905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7639050" cy="895350"/>
                  </a:xfrm>
                  <a:prstGeom prst="rect">
                    <a:avLst/>
                  </a:prstGeom>
                  <a:solidFill>
                    <a:srgbClr val="FFFFFF"/>
                  </a:solid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Nagwek1"/>
      <w:lvlText w:val=""/>
      <w:lvlJc w:val="left"/>
      <w:pPr>
        <w:tabs>
          <w:tab w:val="num" w:pos="432"/>
        </w:tabs>
        <w:ind w:left="432" w:hanging="432"/>
      </w:pPr>
    </w:lvl>
    <w:lvl w:ilvl="1">
      <w:start w:val="1"/>
      <w:numFmt w:val="none"/>
      <w:pStyle w:val="Nagwek2"/>
      <w:lvlText w:val=""/>
      <w:lvlJc w:val="left"/>
      <w:pPr>
        <w:tabs>
          <w:tab w:val="num" w:pos="576"/>
        </w:tabs>
        <w:ind w:left="576" w:hanging="576"/>
      </w:pPr>
    </w:lvl>
    <w:lvl w:ilvl="2">
      <w:start w:val="1"/>
      <w:numFmt w:val="none"/>
      <w:pStyle w:val="Nagwek3"/>
      <w:lvlText w:val=""/>
      <w:lvlJc w:val="left"/>
      <w:pPr>
        <w:tabs>
          <w:tab w:val="num" w:pos="720"/>
        </w:tabs>
        <w:ind w:left="720" w:hanging="720"/>
      </w:pPr>
    </w:lvl>
    <w:lvl w:ilvl="3">
      <w:start w:val="1"/>
      <w:numFmt w:val="none"/>
      <w:pStyle w:val="Nagwek4"/>
      <w:lvlText w:val=""/>
      <w:lvlJc w:val="left"/>
      <w:pPr>
        <w:tabs>
          <w:tab w:val="num" w:pos="864"/>
        </w:tabs>
        <w:ind w:left="864" w:hanging="864"/>
      </w:pPr>
    </w:lvl>
    <w:lvl w:ilvl="4">
      <w:start w:val="1"/>
      <w:numFmt w:val="none"/>
      <w:pStyle w:val="Nagwek5"/>
      <w:lvlText w:val=""/>
      <w:lvlJc w:val="left"/>
      <w:pPr>
        <w:tabs>
          <w:tab w:val="num" w:pos="1008"/>
        </w:tabs>
        <w:ind w:left="1008" w:hanging="1008"/>
      </w:pPr>
    </w:lvl>
    <w:lvl w:ilvl="5">
      <w:start w:val="1"/>
      <w:numFmt w:val="none"/>
      <w:pStyle w:val="Nagwek6"/>
      <w:lvlText w:val=""/>
      <w:lvlJc w:val="left"/>
      <w:pPr>
        <w:tabs>
          <w:tab w:val="num" w:pos="1152"/>
        </w:tabs>
        <w:ind w:left="1152" w:hanging="1152"/>
      </w:pPr>
    </w:lvl>
    <w:lvl w:ilvl="6">
      <w:start w:val="1"/>
      <w:numFmt w:val="none"/>
      <w:pStyle w:val="Nagwek7"/>
      <w:lvlText w:val=""/>
      <w:lvlJc w:val="left"/>
      <w:pPr>
        <w:tabs>
          <w:tab w:val="num" w:pos="1296"/>
        </w:tabs>
        <w:ind w:left="1296" w:hanging="1296"/>
      </w:pPr>
    </w:lvl>
    <w:lvl w:ilvl="7">
      <w:start w:val="1"/>
      <w:numFmt w:val="none"/>
      <w:pStyle w:val="Nagwek8"/>
      <w:lvlText w:val=""/>
      <w:lvlJc w:val="left"/>
      <w:pPr>
        <w:tabs>
          <w:tab w:val="num" w:pos="1440"/>
        </w:tabs>
        <w:ind w:left="1440" w:hanging="1440"/>
      </w:pPr>
    </w:lvl>
    <w:lvl w:ilvl="8">
      <w:start w:val="1"/>
      <w:numFmt w:val="none"/>
      <w:pStyle w:val="Nagwek9"/>
      <w:lvlText w:val=""/>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 w:id="-1"/>
    <w:footnote w:id="0"/>
  </w:footnotePr>
  <w:endnotePr>
    <w:endnote w:id="-1"/>
    <w:endnote w:id="0"/>
  </w:endnotePr>
  <w:compat/>
  <w:rsids>
    <w:rsidRoot w:val="00C87E94"/>
    <w:rsid w:val="000B2210"/>
    <w:rsid w:val="001A0776"/>
    <w:rsid w:val="001B0D48"/>
    <w:rsid w:val="00236773"/>
    <w:rsid w:val="0025669E"/>
    <w:rsid w:val="003D556B"/>
    <w:rsid w:val="00526B6F"/>
    <w:rsid w:val="005F3C61"/>
    <w:rsid w:val="006213C9"/>
    <w:rsid w:val="00734524"/>
    <w:rsid w:val="00795C81"/>
    <w:rsid w:val="007B27D0"/>
    <w:rsid w:val="007D493D"/>
    <w:rsid w:val="00AD4353"/>
    <w:rsid w:val="00C070FC"/>
    <w:rsid w:val="00C170BD"/>
    <w:rsid w:val="00C87E94"/>
    <w:rsid w:val="00DC7A70"/>
    <w:rsid w:val="00E836DA"/>
    <w:rsid w:val="00EC006E"/>
    <w:rsid w:val="00F71E5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B2210"/>
    <w:pPr>
      <w:suppressAutoHyphens/>
      <w:spacing w:before="280" w:after="280"/>
      <w:jc w:val="both"/>
    </w:pPr>
    <w:rPr>
      <w:sz w:val="24"/>
      <w:szCs w:val="24"/>
      <w:lang w:eastAsia="ar-SA"/>
    </w:rPr>
  </w:style>
  <w:style w:type="paragraph" w:styleId="Nagwek1">
    <w:name w:val="heading 1"/>
    <w:basedOn w:val="Normalny"/>
    <w:next w:val="Tekstpodstawowy"/>
    <w:qFormat/>
    <w:rsid w:val="000B2210"/>
    <w:pPr>
      <w:numPr>
        <w:numId w:val="1"/>
      </w:numPr>
      <w:outlineLvl w:val="0"/>
    </w:pPr>
    <w:rPr>
      <w:b/>
      <w:bCs/>
      <w:kern w:val="1"/>
      <w:sz w:val="48"/>
      <w:szCs w:val="48"/>
    </w:rPr>
  </w:style>
  <w:style w:type="paragraph" w:styleId="Nagwek2">
    <w:name w:val="heading 2"/>
    <w:basedOn w:val="Normalny"/>
    <w:next w:val="Normalny"/>
    <w:qFormat/>
    <w:rsid w:val="000B2210"/>
    <w:pPr>
      <w:keepNext/>
      <w:numPr>
        <w:ilvl w:val="1"/>
        <w:numId w:val="1"/>
      </w:numPr>
      <w:spacing w:before="240" w:after="60"/>
      <w:outlineLvl w:val="1"/>
    </w:pPr>
    <w:rPr>
      <w:rFonts w:ascii="Arial" w:hAnsi="Arial" w:cs="Arial"/>
      <w:b/>
      <w:bCs/>
      <w:i/>
      <w:iCs/>
      <w:sz w:val="28"/>
      <w:szCs w:val="28"/>
    </w:rPr>
  </w:style>
  <w:style w:type="paragraph" w:styleId="Nagwek3">
    <w:name w:val="heading 3"/>
    <w:basedOn w:val="Normalny"/>
    <w:next w:val="Normalny"/>
    <w:qFormat/>
    <w:rsid w:val="000B2210"/>
    <w:pPr>
      <w:keepNext/>
      <w:numPr>
        <w:ilvl w:val="2"/>
        <w:numId w:val="1"/>
      </w:numPr>
      <w:outlineLvl w:val="2"/>
    </w:pPr>
    <w:rPr>
      <w:rFonts w:ascii="Arial" w:hAnsi="Arial" w:cs="Arial"/>
      <w:b/>
      <w:bCs/>
      <w:sz w:val="20"/>
      <w:szCs w:val="20"/>
    </w:rPr>
  </w:style>
  <w:style w:type="paragraph" w:styleId="Nagwek4">
    <w:name w:val="heading 4"/>
    <w:basedOn w:val="Normalny"/>
    <w:next w:val="Normalny"/>
    <w:qFormat/>
    <w:rsid w:val="000B2210"/>
    <w:pPr>
      <w:keepNext/>
      <w:numPr>
        <w:ilvl w:val="3"/>
        <w:numId w:val="1"/>
      </w:numPr>
      <w:jc w:val="center"/>
      <w:outlineLvl w:val="3"/>
    </w:pPr>
    <w:rPr>
      <w:rFonts w:ascii="Arial" w:hAnsi="Arial" w:cs="Arial"/>
      <w:b/>
      <w:bCs/>
      <w:sz w:val="32"/>
      <w:szCs w:val="20"/>
    </w:rPr>
  </w:style>
  <w:style w:type="paragraph" w:styleId="Nagwek5">
    <w:name w:val="heading 5"/>
    <w:basedOn w:val="Normalny"/>
    <w:next w:val="Normalny"/>
    <w:qFormat/>
    <w:rsid w:val="000B2210"/>
    <w:pPr>
      <w:keepNext/>
      <w:numPr>
        <w:ilvl w:val="4"/>
        <w:numId w:val="1"/>
      </w:numPr>
      <w:jc w:val="center"/>
      <w:outlineLvl w:val="4"/>
    </w:pPr>
    <w:rPr>
      <w:rFonts w:ascii="Arial" w:hAnsi="Arial"/>
      <w:sz w:val="28"/>
    </w:rPr>
  </w:style>
  <w:style w:type="paragraph" w:styleId="Nagwek6">
    <w:name w:val="heading 6"/>
    <w:basedOn w:val="Normalny"/>
    <w:next w:val="Normalny"/>
    <w:qFormat/>
    <w:rsid w:val="000B2210"/>
    <w:pPr>
      <w:keepNext/>
      <w:numPr>
        <w:ilvl w:val="5"/>
        <w:numId w:val="1"/>
      </w:numPr>
      <w:spacing w:line="360" w:lineRule="auto"/>
      <w:ind w:left="0" w:right="1440" w:firstLine="0"/>
      <w:outlineLvl w:val="5"/>
    </w:pPr>
    <w:rPr>
      <w:rFonts w:ascii="Arial" w:hAnsi="Arial" w:cs="Arial"/>
      <w:b/>
      <w:bCs/>
      <w:sz w:val="20"/>
    </w:rPr>
  </w:style>
  <w:style w:type="paragraph" w:styleId="Nagwek7">
    <w:name w:val="heading 7"/>
    <w:basedOn w:val="Normalny"/>
    <w:next w:val="Normalny"/>
    <w:qFormat/>
    <w:rsid w:val="000B2210"/>
    <w:pPr>
      <w:keepNext/>
      <w:numPr>
        <w:ilvl w:val="6"/>
        <w:numId w:val="1"/>
      </w:numPr>
      <w:spacing w:line="360" w:lineRule="auto"/>
      <w:ind w:left="720" w:right="1440" w:firstLine="0"/>
      <w:outlineLvl w:val="6"/>
    </w:pPr>
    <w:rPr>
      <w:rFonts w:ascii="Arial" w:hAnsi="Arial" w:cs="Arial"/>
      <w:b/>
      <w:bCs/>
      <w:sz w:val="20"/>
    </w:rPr>
  </w:style>
  <w:style w:type="paragraph" w:styleId="Nagwek8">
    <w:name w:val="heading 8"/>
    <w:basedOn w:val="Normalny"/>
    <w:next w:val="Normalny"/>
    <w:qFormat/>
    <w:rsid w:val="000B2210"/>
    <w:pPr>
      <w:keepNext/>
      <w:numPr>
        <w:ilvl w:val="7"/>
        <w:numId w:val="1"/>
      </w:numPr>
      <w:tabs>
        <w:tab w:val="left" w:pos="0"/>
      </w:tabs>
      <w:spacing w:line="360" w:lineRule="auto"/>
      <w:ind w:left="720" w:right="1440" w:firstLine="0"/>
      <w:outlineLvl w:val="7"/>
    </w:pPr>
    <w:rPr>
      <w:b/>
      <w:i/>
      <w:iCs/>
      <w:lang w:val="en-US"/>
    </w:rPr>
  </w:style>
  <w:style w:type="paragraph" w:styleId="Nagwek9">
    <w:name w:val="heading 9"/>
    <w:basedOn w:val="Normalny"/>
    <w:next w:val="Normalny"/>
    <w:qFormat/>
    <w:rsid w:val="000B2210"/>
    <w:pPr>
      <w:keepNext/>
      <w:numPr>
        <w:ilvl w:val="8"/>
        <w:numId w:val="1"/>
      </w:numPr>
      <w:spacing w:line="360" w:lineRule="auto"/>
      <w:ind w:left="0" w:right="-70" w:firstLine="0"/>
      <w:outlineLvl w:val="8"/>
    </w:pPr>
    <w:rPr>
      <w:rFonts w:ascii="Arial" w:hAnsi="Arial" w:cs="Arial"/>
      <w:b/>
      <w:bCs/>
      <w:sz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Domylnaczcionkaakapitu">
    <w:name w:val="WW-Domyślna czcionka akapitu"/>
    <w:rsid w:val="000B2210"/>
  </w:style>
  <w:style w:type="character" w:customStyle="1" w:styleId="WW8Num2z0">
    <w:name w:val="WW8Num2z0"/>
    <w:rsid w:val="000B2210"/>
    <w:rPr>
      <w:rFonts w:ascii="Wingdings" w:hAnsi="Wingdings"/>
    </w:rPr>
  </w:style>
  <w:style w:type="character" w:customStyle="1" w:styleId="WW8Num2z1">
    <w:name w:val="WW8Num2z1"/>
    <w:rsid w:val="000B2210"/>
    <w:rPr>
      <w:rFonts w:ascii="Courier New" w:hAnsi="Courier New" w:cs="Courier New"/>
    </w:rPr>
  </w:style>
  <w:style w:type="character" w:customStyle="1" w:styleId="WW8Num2z3">
    <w:name w:val="WW8Num2z3"/>
    <w:rsid w:val="000B2210"/>
    <w:rPr>
      <w:rFonts w:ascii="Symbol" w:hAnsi="Symbol"/>
    </w:rPr>
  </w:style>
  <w:style w:type="character" w:customStyle="1" w:styleId="WW8Num3z0">
    <w:name w:val="WW8Num3z0"/>
    <w:rsid w:val="000B2210"/>
    <w:rPr>
      <w:b/>
    </w:rPr>
  </w:style>
  <w:style w:type="character" w:customStyle="1" w:styleId="WW8Num4z0">
    <w:name w:val="WW8Num4z0"/>
    <w:rsid w:val="000B2210"/>
    <w:rPr>
      <w:rFonts w:ascii="Symbol" w:hAnsi="Symbol"/>
    </w:rPr>
  </w:style>
  <w:style w:type="character" w:customStyle="1" w:styleId="WW8Num4z1">
    <w:name w:val="WW8Num4z1"/>
    <w:rsid w:val="000B2210"/>
    <w:rPr>
      <w:rFonts w:ascii="Courier New" w:hAnsi="Courier New" w:cs="Courier New"/>
    </w:rPr>
  </w:style>
  <w:style w:type="character" w:customStyle="1" w:styleId="WW8Num4z2">
    <w:name w:val="WW8Num4z2"/>
    <w:rsid w:val="000B2210"/>
    <w:rPr>
      <w:rFonts w:ascii="Wingdings" w:hAnsi="Wingdings"/>
    </w:rPr>
  </w:style>
  <w:style w:type="character" w:customStyle="1" w:styleId="WW8Num5z0">
    <w:name w:val="WW8Num5z0"/>
    <w:rsid w:val="000B2210"/>
    <w:rPr>
      <w:rFonts w:ascii="Symbol" w:hAnsi="Symbol"/>
    </w:rPr>
  </w:style>
  <w:style w:type="character" w:customStyle="1" w:styleId="WW8Num5z1">
    <w:name w:val="WW8Num5z1"/>
    <w:rsid w:val="000B2210"/>
    <w:rPr>
      <w:rFonts w:ascii="Courier New" w:hAnsi="Courier New"/>
    </w:rPr>
  </w:style>
  <w:style w:type="character" w:customStyle="1" w:styleId="WW8Num5z2">
    <w:name w:val="WW8Num5z2"/>
    <w:rsid w:val="000B2210"/>
    <w:rPr>
      <w:rFonts w:ascii="Wingdings" w:hAnsi="Wingdings"/>
    </w:rPr>
  </w:style>
  <w:style w:type="character" w:customStyle="1" w:styleId="WW8Num9z0">
    <w:name w:val="WW8Num9z0"/>
    <w:rsid w:val="000B2210"/>
    <w:rPr>
      <w:rFonts w:ascii="Wingdings" w:hAnsi="Wingdings"/>
    </w:rPr>
  </w:style>
  <w:style w:type="character" w:customStyle="1" w:styleId="WW8Num9z1">
    <w:name w:val="WW8Num9z1"/>
    <w:rsid w:val="000B2210"/>
    <w:rPr>
      <w:rFonts w:ascii="Courier New" w:hAnsi="Courier New"/>
    </w:rPr>
  </w:style>
  <w:style w:type="character" w:customStyle="1" w:styleId="WW8Num9z3">
    <w:name w:val="WW8Num9z3"/>
    <w:rsid w:val="000B2210"/>
    <w:rPr>
      <w:rFonts w:ascii="Symbol" w:hAnsi="Symbol"/>
    </w:rPr>
  </w:style>
  <w:style w:type="character" w:customStyle="1" w:styleId="WW8Num10z0">
    <w:name w:val="WW8Num10z0"/>
    <w:rsid w:val="000B2210"/>
    <w:rPr>
      <w:rFonts w:ascii="Wingdings" w:hAnsi="Wingdings"/>
    </w:rPr>
  </w:style>
  <w:style w:type="character" w:customStyle="1" w:styleId="WW8Num10z1">
    <w:name w:val="WW8Num10z1"/>
    <w:rsid w:val="000B2210"/>
    <w:rPr>
      <w:rFonts w:ascii="Courier New" w:hAnsi="Courier New" w:cs="Courier New"/>
    </w:rPr>
  </w:style>
  <w:style w:type="character" w:customStyle="1" w:styleId="WW8Num10z3">
    <w:name w:val="WW8Num10z3"/>
    <w:rsid w:val="000B2210"/>
    <w:rPr>
      <w:rFonts w:ascii="Symbol" w:hAnsi="Symbol"/>
    </w:rPr>
  </w:style>
  <w:style w:type="character" w:customStyle="1" w:styleId="WW8Num11z0">
    <w:name w:val="WW8Num11z0"/>
    <w:rsid w:val="000B2210"/>
    <w:rPr>
      <w:rFonts w:ascii="Symbol" w:hAnsi="Symbol"/>
      <w:sz w:val="20"/>
    </w:rPr>
  </w:style>
  <w:style w:type="character" w:customStyle="1" w:styleId="WW8Num11z1">
    <w:name w:val="WW8Num11z1"/>
    <w:rsid w:val="000B2210"/>
    <w:rPr>
      <w:rFonts w:ascii="Courier New" w:hAnsi="Courier New"/>
      <w:sz w:val="20"/>
    </w:rPr>
  </w:style>
  <w:style w:type="character" w:customStyle="1" w:styleId="WW8Num11z2">
    <w:name w:val="WW8Num11z2"/>
    <w:rsid w:val="000B2210"/>
    <w:rPr>
      <w:rFonts w:ascii="Wingdings" w:hAnsi="Wingdings"/>
      <w:sz w:val="20"/>
    </w:rPr>
  </w:style>
  <w:style w:type="character" w:customStyle="1" w:styleId="WW8Num12z1">
    <w:name w:val="WW8Num12z1"/>
    <w:rsid w:val="000B2210"/>
    <w:rPr>
      <w:rFonts w:ascii="Arial" w:eastAsia="Times New Roman" w:hAnsi="Arial" w:cs="Arial"/>
    </w:rPr>
  </w:style>
  <w:style w:type="character" w:customStyle="1" w:styleId="WW8Num12z2">
    <w:name w:val="WW8Num12z2"/>
    <w:rsid w:val="000B2210"/>
    <w:rPr>
      <w:rFonts w:ascii="Courier New" w:hAnsi="Courier New"/>
    </w:rPr>
  </w:style>
  <w:style w:type="character" w:customStyle="1" w:styleId="WW8Num15z0">
    <w:name w:val="WW8Num15z0"/>
    <w:rsid w:val="000B2210"/>
    <w:rPr>
      <w:rFonts w:ascii="Symbol" w:hAnsi="Symbol"/>
    </w:rPr>
  </w:style>
  <w:style w:type="character" w:customStyle="1" w:styleId="WW8Num15z1">
    <w:name w:val="WW8Num15z1"/>
    <w:rsid w:val="000B2210"/>
    <w:rPr>
      <w:rFonts w:ascii="Courier New" w:hAnsi="Courier New"/>
    </w:rPr>
  </w:style>
  <w:style w:type="character" w:customStyle="1" w:styleId="WW8Num15z2">
    <w:name w:val="WW8Num15z2"/>
    <w:rsid w:val="000B2210"/>
    <w:rPr>
      <w:rFonts w:ascii="Wingdings" w:hAnsi="Wingdings"/>
    </w:rPr>
  </w:style>
  <w:style w:type="character" w:customStyle="1" w:styleId="WW8Num16z0">
    <w:name w:val="WW8Num16z0"/>
    <w:rsid w:val="000B2210"/>
    <w:rPr>
      <w:rFonts w:ascii="Symbol" w:hAnsi="Symbol"/>
      <w:sz w:val="20"/>
    </w:rPr>
  </w:style>
  <w:style w:type="character" w:customStyle="1" w:styleId="WW8Num16z1">
    <w:name w:val="WW8Num16z1"/>
    <w:rsid w:val="000B2210"/>
    <w:rPr>
      <w:rFonts w:ascii="Courier New" w:hAnsi="Courier New"/>
      <w:sz w:val="20"/>
    </w:rPr>
  </w:style>
  <w:style w:type="character" w:customStyle="1" w:styleId="WW8Num16z2">
    <w:name w:val="WW8Num16z2"/>
    <w:rsid w:val="000B2210"/>
    <w:rPr>
      <w:rFonts w:ascii="Wingdings" w:hAnsi="Wingdings"/>
      <w:sz w:val="20"/>
    </w:rPr>
  </w:style>
  <w:style w:type="character" w:customStyle="1" w:styleId="WW8Num17z0">
    <w:name w:val="WW8Num17z0"/>
    <w:rsid w:val="000B2210"/>
    <w:rPr>
      <w:rFonts w:ascii="Symbol" w:hAnsi="Symbol"/>
    </w:rPr>
  </w:style>
  <w:style w:type="character" w:customStyle="1" w:styleId="WW8Num17z1">
    <w:name w:val="WW8Num17z1"/>
    <w:rsid w:val="000B2210"/>
    <w:rPr>
      <w:rFonts w:ascii="Courier New" w:hAnsi="Courier New"/>
    </w:rPr>
  </w:style>
  <w:style w:type="character" w:customStyle="1" w:styleId="WW8Num17z2">
    <w:name w:val="WW8Num17z2"/>
    <w:rsid w:val="000B2210"/>
    <w:rPr>
      <w:rFonts w:ascii="Wingdings" w:hAnsi="Wingdings"/>
    </w:rPr>
  </w:style>
  <w:style w:type="character" w:customStyle="1" w:styleId="WW8Num18z0">
    <w:name w:val="WW8Num18z0"/>
    <w:rsid w:val="000B2210"/>
    <w:rPr>
      <w:rFonts w:ascii="Symbol" w:hAnsi="Symbol"/>
    </w:rPr>
  </w:style>
  <w:style w:type="character" w:customStyle="1" w:styleId="WW8Num18z1">
    <w:name w:val="WW8Num18z1"/>
    <w:rsid w:val="000B2210"/>
    <w:rPr>
      <w:rFonts w:ascii="Courier New" w:hAnsi="Courier New"/>
    </w:rPr>
  </w:style>
  <w:style w:type="character" w:customStyle="1" w:styleId="WW8Num18z2">
    <w:name w:val="WW8Num18z2"/>
    <w:rsid w:val="000B2210"/>
    <w:rPr>
      <w:rFonts w:ascii="Wingdings" w:hAnsi="Wingdings"/>
    </w:rPr>
  </w:style>
  <w:style w:type="character" w:customStyle="1" w:styleId="WW8Num19z0">
    <w:name w:val="WW8Num19z0"/>
    <w:rsid w:val="000B2210"/>
    <w:rPr>
      <w:rFonts w:ascii="Symbol" w:hAnsi="Symbol"/>
    </w:rPr>
  </w:style>
  <w:style w:type="character" w:customStyle="1" w:styleId="WW8Num19z1">
    <w:name w:val="WW8Num19z1"/>
    <w:rsid w:val="000B2210"/>
    <w:rPr>
      <w:rFonts w:ascii="Courier New" w:hAnsi="Courier New"/>
    </w:rPr>
  </w:style>
  <w:style w:type="character" w:customStyle="1" w:styleId="WW8Num19z2">
    <w:name w:val="WW8Num19z2"/>
    <w:rsid w:val="000B2210"/>
    <w:rPr>
      <w:rFonts w:ascii="Wingdings" w:hAnsi="Wingdings"/>
    </w:rPr>
  </w:style>
  <w:style w:type="character" w:customStyle="1" w:styleId="WW8Num20z0">
    <w:name w:val="WW8Num20z0"/>
    <w:rsid w:val="000B2210"/>
    <w:rPr>
      <w:rFonts w:ascii="Symbol" w:hAnsi="Symbol"/>
    </w:rPr>
  </w:style>
  <w:style w:type="character" w:customStyle="1" w:styleId="WW8Num20z1">
    <w:name w:val="WW8Num20z1"/>
    <w:rsid w:val="000B2210"/>
    <w:rPr>
      <w:rFonts w:ascii="Courier New" w:hAnsi="Courier New"/>
    </w:rPr>
  </w:style>
  <w:style w:type="character" w:customStyle="1" w:styleId="WW8Num20z2">
    <w:name w:val="WW8Num20z2"/>
    <w:rsid w:val="000B2210"/>
    <w:rPr>
      <w:rFonts w:ascii="Wingdings" w:hAnsi="Wingdings"/>
    </w:rPr>
  </w:style>
  <w:style w:type="character" w:customStyle="1" w:styleId="WW8Num21z0">
    <w:name w:val="WW8Num21z0"/>
    <w:rsid w:val="000B2210"/>
    <w:rPr>
      <w:rFonts w:ascii="Symbol" w:hAnsi="Symbol"/>
    </w:rPr>
  </w:style>
  <w:style w:type="character" w:customStyle="1" w:styleId="WW8Num21z1">
    <w:name w:val="WW8Num21z1"/>
    <w:rsid w:val="000B2210"/>
    <w:rPr>
      <w:b/>
    </w:rPr>
  </w:style>
  <w:style w:type="character" w:customStyle="1" w:styleId="WW8Num22z0">
    <w:name w:val="WW8Num22z0"/>
    <w:rsid w:val="000B2210"/>
    <w:rPr>
      <w:rFonts w:ascii="Symbol" w:hAnsi="Symbol"/>
    </w:rPr>
  </w:style>
  <w:style w:type="character" w:customStyle="1" w:styleId="WW8Num22z1">
    <w:name w:val="WW8Num22z1"/>
    <w:rsid w:val="000B2210"/>
    <w:rPr>
      <w:rFonts w:ascii="Courier New" w:hAnsi="Courier New"/>
    </w:rPr>
  </w:style>
  <w:style w:type="character" w:customStyle="1" w:styleId="WW8Num22z2">
    <w:name w:val="WW8Num22z2"/>
    <w:rsid w:val="000B2210"/>
    <w:rPr>
      <w:rFonts w:ascii="Wingdings" w:hAnsi="Wingdings"/>
    </w:rPr>
  </w:style>
  <w:style w:type="character" w:customStyle="1" w:styleId="WW8Num23z0">
    <w:name w:val="WW8Num23z0"/>
    <w:rsid w:val="000B2210"/>
    <w:rPr>
      <w:rFonts w:ascii="Symbol" w:hAnsi="Symbol"/>
    </w:rPr>
  </w:style>
  <w:style w:type="character" w:customStyle="1" w:styleId="WW8Num23z1">
    <w:name w:val="WW8Num23z1"/>
    <w:rsid w:val="000B2210"/>
    <w:rPr>
      <w:rFonts w:ascii="Courier New" w:hAnsi="Courier New"/>
    </w:rPr>
  </w:style>
  <w:style w:type="character" w:customStyle="1" w:styleId="WW8Num23z2">
    <w:name w:val="WW8Num23z2"/>
    <w:rsid w:val="000B2210"/>
    <w:rPr>
      <w:rFonts w:ascii="Wingdings" w:hAnsi="Wingdings"/>
    </w:rPr>
  </w:style>
  <w:style w:type="character" w:customStyle="1" w:styleId="WW8Num24z0">
    <w:name w:val="WW8Num24z0"/>
    <w:rsid w:val="000B2210"/>
    <w:rPr>
      <w:rFonts w:ascii="Symbol" w:hAnsi="Symbol"/>
    </w:rPr>
  </w:style>
  <w:style w:type="character" w:customStyle="1" w:styleId="WW8Num24z1">
    <w:name w:val="WW8Num24z1"/>
    <w:rsid w:val="000B2210"/>
    <w:rPr>
      <w:rFonts w:ascii="Courier New" w:hAnsi="Courier New"/>
    </w:rPr>
  </w:style>
  <w:style w:type="character" w:customStyle="1" w:styleId="WW8Num24z2">
    <w:name w:val="WW8Num24z2"/>
    <w:rsid w:val="000B2210"/>
    <w:rPr>
      <w:rFonts w:ascii="Wingdings" w:hAnsi="Wingdings"/>
    </w:rPr>
  </w:style>
  <w:style w:type="character" w:customStyle="1" w:styleId="WW8Num26z0">
    <w:name w:val="WW8Num26z0"/>
    <w:rsid w:val="000B2210"/>
    <w:rPr>
      <w:rFonts w:ascii="Symbol" w:hAnsi="Symbol"/>
      <w:sz w:val="20"/>
    </w:rPr>
  </w:style>
  <w:style w:type="character" w:customStyle="1" w:styleId="WW8Num26z1">
    <w:name w:val="WW8Num26z1"/>
    <w:rsid w:val="000B2210"/>
    <w:rPr>
      <w:rFonts w:ascii="Courier New" w:hAnsi="Courier New"/>
      <w:sz w:val="20"/>
    </w:rPr>
  </w:style>
  <w:style w:type="character" w:customStyle="1" w:styleId="WW8Num26z2">
    <w:name w:val="WW8Num26z2"/>
    <w:rsid w:val="000B2210"/>
    <w:rPr>
      <w:rFonts w:ascii="Wingdings" w:hAnsi="Wingdings"/>
      <w:sz w:val="20"/>
    </w:rPr>
  </w:style>
  <w:style w:type="character" w:customStyle="1" w:styleId="WW8Num27z0">
    <w:name w:val="WW8Num27z0"/>
    <w:rsid w:val="000B2210"/>
    <w:rPr>
      <w:rFonts w:ascii="Times New Roman" w:eastAsia="Times New Roman" w:hAnsi="Times New Roman" w:cs="Times New Roman"/>
    </w:rPr>
  </w:style>
  <w:style w:type="character" w:customStyle="1" w:styleId="WW8Num27z1">
    <w:name w:val="WW8Num27z1"/>
    <w:rsid w:val="000B2210"/>
    <w:rPr>
      <w:rFonts w:ascii="Courier New" w:hAnsi="Courier New"/>
    </w:rPr>
  </w:style>
  <w:style w:type="character" w:customStyle="1" w:styleId="WW8Num27z2">
    <w:name w:val="WW8Num27z2"/>
    <w:rsid w:val="000B2210"/>
    <w:rPr>
      <w:rFonts w:ascii="Wingdings" w:hAnsi="Wingdings"/>
    </w:rPr>
  </w:style>
  <w:style w:type="character" w:customStyle="1" w:styleId="WW8Num27z3">
    <w:name w:val="WW8Num27z3"/>
    <w:rsid w:val="000B2210"/>
    <w:rPr>
      <w:rFonts w:ascii="Symbol" w:hAnsi="Symbol"/>
    </w:rPr>
  </w:style>
  <w:style w:type="character" w:customStyle="1" w:styleId="WW-Domylnaczcionkaakapitu1">
    <w:name w:val="WW-Domyślna czcionka akapitu1"/>
    <w:rsid w:val="000B2210"/>
  </w:style>
  <w:style w:type="character" w:styleId="Hipercze">
    <w:name w:val="Hyperlink"/>
    <w:basedOn w:val="WW-Domylnaczcionkaakapitu1"/>
    <w:semiHidden/>
    <w:rsid w:val="000B2210"/>
    <w:rPr>
      <w:color w:val="0000FF"/>
      <w:u w:val="single"/>
    </w:rPr>
  </w:style>
  <w:style w:type="character" w:styleId="UyteHipercze">
    <w:name w:val="FollowedHyperlink"/>
    <w:basedOn w:val="WW-Domylnaczcionkaakapitu1"/>
    <w:semiHidden/>
    <w:rsid w:val="000B2210"/>
    <w:rPr>
      <w:color w:val="800080"/>
      <w:u w:val="single"/>
    </w:rPr>
  </w:style>
  <w:style w:type="character" w:styleId="Numerstrony">
    <w:name w:val="page number"/>
    <w:basedOn w:val="WW-Domylnaczcionkaakapitu1"/>
    <w:semiHidden/>
    <w:rsid w:val="000B2210"/>
  </w:style>
  <w:style w:type="character" w:styleId="Odwoaniedokomentarza">
    <w:name w:val="annotation reference"/>
    <w:basedOn w:val="WW-Domylnaczcionkaakapitu1"/>
    <w:semiHidden/>
    <w:rsid w:val="000B2210"/>
    <w:rPr>
      <w:sz w:val="16"/>
      <w:szCs w:val="16"/>
    </w:rPr>
  </w:style>
  <w:style w:type="character" w:styleId="Uwydatnienie">
    <w:name w:val="Emphasis"/>
    <w:basedOn w:val="WW-Domylnaczcionkaakapitu1"/>
    <w:qFormat/>
    <w:rsid w:val="000B2210"/>
    <w:rPr>
      <w:i/>
      <w:iCs/>
    </w:rPr>
  </w:style>
  <w:style w:type="character" w:customStyle="1" w:styleId="il">
    <w:name w:val="il"/>
    <w:basedOn w:val="WW-Domylnaczcionkaakapitu1"/>
    <w:rsid w:val="000B2210"/>
  </w:style>
  <w:style w:type="character" w:styleId="Pogrubienie">
    <w:name w:val="Strong"/>
    <w:basedOn w:val="WW-Domylnaczcionkaakapitu1"/>
    <w:qFormat/>
    <w:rsid w:val="000B2210"/>
    <w:rPr>
      <w:b/>
      <w:bCs/>
    </w:rPr>
  </w:style>
  <w:style w:type="character" w:customStyle="1" w:styleId="ZnakZnak">
    <w:name w:val="Znak Znak"/>
    <w:basedOn w:val="WW-Domylnaczcionkaakapitu1"/>
    <w:rsid w:val="000B2210"/>
  </w:style>
  <w:style w:type="character" w:customStyle="1" w:styleId="ZwykytekstZnak">
    <w:name w:val="Zwykły tekst Znak"/>
    <w:basedOn w:val="WW-Domylnaczcionkaakapitu1"/>
    <w:rsid w:val="000B2210"/>
    <w:rPr>
      <w:rFonts w:ascii="Consolas" w:hAnsi="Consolas"/>
      <w:lang w:eastAsia="ar-SA" w:bidi="ar-SA"/>
    </w:rPr>
  </w:style>
  <w:style w:type="paragraph" w:styleId="Nagwek">
    <w:name w:val="header"/>
    <w:basedOn w:val="Normalny"/>
    <w:next w:val="Tekstpodstawowy"/>
    <w:semiHidden/>
    <w:rsid w:val="000B2210"/>
    <w:pPr>
      <w:tabs>
        <w:tab w:val="center" w:pos="4536"/>
        <w:tab w:val="right" w:pos="9072"/>
      </w:tabs>
    </w:pPr>
  </w:style>
  <w:style w:type="paragraph" w:styleId="Tekstpodstawowy">
    <w:name w:val="Body Text"/>
    <w:basedOn w:val="Normalny"/>
    <w:semiHidden/>
    <w:rsid w:val="000B2210"/>
  </w:style>
  <w:style w:type="paragraph" w:styleId="Lista">
    <w:name w:val="List"/>
    <w:basedOn w:val="Tekstpodstawowy"/>
    <w:semiHidden/>
    <w:rsid w:val="000B2210"/>
    <w:rPr>
      <w:rFonts w:cs="Tahoma"/>
    </w:rPr>
  </w:style>
  <w:style w:type="paragraph" w:styleId="Podpis">
    <w:name w:val="Signature"/>
    <w:basedOn w:val="Normalny"/>
    <w:semiHidden/>
    <w:rsid w:val="000B2210"/>
    <w:pPr>
      <w:suppressLineNumbers/>
      <w:spacing w:before="120" w:after="120"/>
    </w:pPr>
    <w:rPr>
      <w:rFonts w:cs="Tahoma"/>
      <w:i/>
      <w:iCs/>
    </w:rPr>
  </w:style>
  <w:style w:type="paragraph" w:customStyle="1" w:styleId="Indeks">
    <w:name w:val="Indeks"/>
    <w:basedOn w:val="Normalny"/>
    <w:rsid w:val="000B2210"/>
    <w:pPr>
      <w:suppressLineNumbers/>
    </w:pPr>
    <w:rPr>
      <w:rFonts w:cs="Tahoma"/>
    </w:rPr>
  </w:style>
  <w:style w:type="paragraph" w:styleId="Stopka">
    <w:name w:val="footer"/>
    <w:basedOn w:val="Normalny"/>
    <w:semiHidden/>
    <w:rsid w:val="000B2210"/>
    <w:pPr>
      <w:tabs>
        <w:tab w:val="center" w:pos="4536"/>
        <w:tab w:val="right" w:pos="9072"/>
      </w:tabs>
    </w:pPr>
  </w:style>
  <w:style w:type="paragraph" w:styleId="Tekstpodstawowy3">
    <w:name w:val="Body Text 3"/>
    <w:basedOn w:val="Normalny"/>
    <w:semiHidden/>
    <w:rsid w:val="000B2210"/>
    <w:rPr>
      <w:rFonts w:ascii="Arial" w:hAnsi="Arial" w:cs="Arial"/>
      <w:sz w:val="16"/>
    </w:rPr>
  </w:style>
  <w:style w:type="paragraph" w:styleId="Tekstpodstawowywcity">
    <w:name w:val="Body Text Indent"/>
    <w:basedOn w:val="Normalny"/>
    <w:semiHidden/>
    <w:rsid w:val="000B2210"/>
    <w:pPr>
      <w:ind w:left="360"/>
    </w:pPr>
    <w:rPr>
      <w:sz w:val="36"/>
      <w:szCs w:val="20"/>
    </w:rPr>
  </w:style>
  <w:style w:type="paragraph" w:styleId="Tekstpodstawowywcity3">
    <w:name w:val="Body Text Indent 3"/>
    <w:basedOn w:val="Normalny"/>
    <w:semiHidden/>
    <w:rsid w:val="000B2210"/>
    <w:pPr>
      <w:ind w:left="360"/>
    </w:pPr>
    <w:rPr>
      <w:sz w:val="22"/>
      <w:szCs w:val="20"/>
    </w:rPr>
  </w:style>
  <w:style w:type="paragraph" w:styleId="Tekstpodstawowy2">
    <w:name w:val="Body Text 2"/>
    <w:basedOn w:val="Normalny"/>
    <w:semiHidden/>
    <w:rsid w:val="000B2210"/>
    <w:pPr>
      <w:ind w:right="72"/>
    </w:pPr>
    <w:rPr>
      <w:rFonts w:ascii="Arial" w:hAnsi="Arial" w:cs="Arial"/>
      <w:b/>
      <w:bCs/>
      <w:sz w:val="20"/>
    </w:rPr>
  </w:style>
  <w:style w:type="paragraph" w:styleId="Tekstkomentarza">
    <w:name w:val="annotation text"/>
    <w:basedOn w:val="Normalny"/>
    <w:semiHidden/>
    <w:rsid w:val="000B2210"/>
    <w:rPr>
      <w:sz w:val="20"/>
      <w:szCs w:val="20"/>
    </w:rPr>
  </w:style>
  <w:style w:type="paragraph" w:styleId="NormalnyWeb">
    <w:name w:val="Normal (Web)"/>
    <w:basedOn w:val="Normalny"/>
    <w:semiHidden/>
    <w:rsid w:val="000B2210"/>
    <w:rPr>
      <w:color w:val="000000"/>
    </w:rPr>
  </w:style>
  <w:style w:type="paragraph" w:styleId="Tekstdymka">
    <w:name w:val="Balloon Text"/>
    <w:basedOn w:val="Normalny"/>
    <w:rsid w:val="000B2210"/>
    <w:rPr>
      <w:rFonts w:ascii="Tahoma" w:hAnsi="Tahoma" w:cs="Tahoma"/>
      <w:sz w:val="16"/>
      <w:szCs w:val="16"/>
    </w:rPr>
  </w:style>
  <w:style w:type="paragraph" w:styleId="Tematkomentarza">
    <w:name w:val="annotation subject"/>
    <w:basedOn w:val="Tekstkomentarza"/>
    <w:next w:val="Tekstkomentarza"/>
    <w:rsid w:val="000B2210"/>
    <w:rPr>
      <w:b/>
      <w:bCs/>
    </w:rPr>
  </w:style>
  <w:style w:type="paragraph" w:styleId="Plandokumentu">
    <w:name w:val="Document Map"/>
    <w:basedOn w:val="Normalny"/>
    <w:semiHidden/>
    <w:rsid w:val="000B2210"/>
    <w:pPr>
      <w:shd w:val="clear" w:color="auto" w:fill="000080"/>
    </w:pPr>
    <w:rPr>
      <w:rFonts w:ascii="Tahoma" w:hAnsi="Tahoma" w:cs="Tahoma"/>
      <w:sz w:val="20"/>
      <w:szCs w:val="20"/>
    </w:rPr>
  </w:style>
  <w:style w:type="paragraph" w:styleId="Zwykytekst">
    <w:name w:val="Plain Text"/>
    <w:basedOn w:val="Normalny"/>
    <w:semiHidden/>
    <w:rsid w:val="000B2210"/>
    <w:rPr>
      <w:rFonts w:ascii="Consolas" w:hAnsi="Consolas"/>
      <w:sz w:val="20"/>
      <w:szCs w:val="20"/>
    </w:rPr>
  </w:style>
  <w:style w:type="character" w:customStyle="1" w:styleId="apple-style-span">
    <w:name w:val="apple-style-span"/>
    <w:basedOn w:val="Domylnaczcionkaakapitu"/>
    <w:rsid w:val="000B2210"/>
  </w:style>
  <w:style w:type="character" w:customStyle="1" w:styleId="apple-converted-space">
    <w:name w:val="apple-converted-space"/>
    <w:basedOn w:val="Domylnaczcionkaakapitu"/>
    <w:rsid w:val="000B221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ankier.pl/wiadomosc/Gdzie-diabel-nie-moze-tam-konsjerza-posle-2427370.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ankier.pl/wiadomosc/Gdzie-diabel-nie-moze-tam-konsjerza-posle-2427370.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m.wrotniak@bankier.p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370</Words>
  <Characters>2223</Characters>
  <Application>Microsoft Office Word</Application>
  <DocSecurity>0</DocSecurity>
  <Lines>18</Lines>
  <Paragraphs>5</Paragraphs>
  <ScaleCrop>false</ScaleCrop>
  <HeadingPairs>
    <vt:vector size="2" baseType="variant">
      <vt:variant>
        <vt:lpstr>Tytuł</vt:lpstr>
      </vt:variant>
      <vt:variant>
        <vt:i4>1</vt:i4>
      </vt:variant>
    </vt:vector>
  </HeadingPairs>
  <TitlesOfParts>
    <vt:vector size="1" baseType="lpstr">
      <vt:lpstr>Warszawa, 18 sierpnia 2005</vt:lpstr>
    </vt:vector>
  </TitlesOfParts>
  <Company>Bankier</Company>
  <LinksUpToDate>false</LinksUpToDate>
  <CharactersWithSpaces>2588</CharactersWithSpaces>
  <SharedDoc>false</SharedDoc>
  <HLinks>
    <vt:vector size="18" baseType="variant">
      <vt:variant>
        <vt:i4>7667719</vt:i4>
      </vt:variant>
      <vt:variant>
        <vt:i4>6</vt:i4>
      </vt:variant>
      <vt:variant>
        <vt:i4>0</vt:i4>
      </vt:variant>
      <vt:variant>
        <vt:i4>5</vt:i4>
      </vt:variant>
      <vt:variant>
        <vt:lpwstr>mailto:m.wrotniak@bankier.pl</vt:lpwstr>
      </vt:variant>
      <vt:variant>
        <vt:lpwstr/>
      </vt:variant>
      <vt:variant>
        <vt:i4>7733344</vt:i4>
      </vt:variant>
      <vt:variant>
        <vt:i4>3</vt:i4>
      </vt:variant>
      <vt:variant>
        <vt:i4>0</vt:i4>
      </vt:variant>
      <vt:variant>
        <vt:i4>5</vt:i4>
      </vt:variant>
      <vt:variant>
        <vt:lpwstr>http://www.bankier.pl/wiadomosc/Zapis-windykacyjny-sposob-na-krotsze-postepowanie-spadkowe-2420434.html</vt:lpwstr>
      </vt:variant>
      <vt:variant>
        <vt:lpwstr/>
      </vt:variant>
      <vt:variant>
        <vt:i4>7733344</vt:i4>
      </vt:variant>
      <vt:variant>
        <vt:i4>0</vt:i4>
      </vt:variant>
      <vt:variant>
        <vt:i4>0</vt:i4>
      </vt:variant>
      <vt:variant>
        <vt:i4>5</vt:i4>
      </vt:variant>
      <vt:variant>
        <vt:lpwstr>http://www.bankier.pl/wiadomosc/Zapis-windykacyjny-sposob-na-krotsze-postepowanie-spadkowe-2420434.html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Warszawa, 18 sierpnia 2005</dc:title>
  <dc:creator>Piotr</dc:creator>
  <cp:lastModifiedBy>hmis</cp:lastModifiedBy>
  <cp:revision>2</cp:revision>
  <cp:lastPrinted>2011-10-25T07:14:00Z</cp:lastPrinted>
  <dcterms:created xsi:type="dcterms:W3CDTF">2011-11-02T09:29:00Z</dcterms:created>
  <dcterms:modified xsi:type="dcterms:W3CDTF">2011-11-02T09:29:00Z</dcterms:modified>
</cp:coreProperties>
</file>